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left"/>
        <w:rPr>
          <w:rFonts w:ascii="Times New Roman" w:hAnsi="Times New Roman" w:cs="Times New Roman"/>
          <w:b/>
          <w:sz w:val="22"/>
          <w:szCs w:val="21"/>
          <w:u w:val="none"/>
        </w:rPr>
      </w:pPr>
      <w:r>
        <w:rPr>
          <w:rFonts w:ascii="Times New Roman" w:hAnsi="Times New Roman" w:cs="Times New Roman"/>
          <w:b/>
          <w:sz w:val="22"/>
          <w:szCs w:val="21"/>
          <w:u w:val="none"/>
        </w:rPr>
        <w:t>The effects of interest rates on the valuation of highway infrastructure assets</w:t>
      </w:r>
    </w:p>
    <w:p>
      <w:pPr>
        <w:jc w:val="left"/>
        <w:rPr>
          <w:rFonts w:ascii="Times New Roman" w:hAnsi="Times New Roman" w:cs="Times New Roman"/>
          <w:szCs w:val="21"/>
          <w:u w:val="none"/>
        </w:rPr>
      </w:pPr>
      <w:r>
        <w:rPr>
          <w:rFonts w:ascii="Times New Roman" w:hAnsi="Times New Roman" w:cs="Times New Roman"/>
          <w:szCs w:val="21"/>
          <w:u w:val="none"/>
        </w:rPr>
        <w:t>Carles Vergara-Alert</w:t>
      </w:r>
      <w:r>
        <w:rPr>
          <w:rFonts w:ascii="Times New Roman" w:hAnsi="Times New Roman" w:cs="Times New Roman"/>
          <w:szCs w:val="21"/>
          <w:u w:val="none"/>
          <w:vertAlign w:val="superscript"/>
        </w:rPr>
        <w:t>1</w:t>
      </w:r>
    </w:p>
    <w:p>
      <w:pPr>
        <w:jc w:val="left"/>
        <w:rPr>
          <w:rFonts w:ascii="Times New Roman" w:hAnsi="Times New Roman" w:cs="Times New Roman"/>
          <w:szCs w:val="21"/>
          <w:u w:val="none"/>
        </w:rPr>
      </w:pPr>
      <w:r>
        <w:rPr>
          <w:rFonts w:ascii="Times New Roman" w:hAnsi="Times New Roman" w:cs="Times New Roman"/>
          <w:szCs w:val="21"/>
          <w:u w:val="none"/>
          <w:vertAlign w:val="superscript"/>
        </w:rPr>
        <w:t>1</w:t>
      </w:r>
      <w:r>
        <w:rPr>
          <w:rFonts w:ascii="Times New Roman" w:hAnsi="Times New Roman" w:cs="Times New Roman"/>
          <w:szCs w:val="21"/>
          <w:u w:val="none"/>
        </w:rPr>
        <w:t xml:space="preserve"> Financial Management Department, IESE Business School</w:t>
      </w:r>
      <w:r>
        <w:rPr>
          <w:rFonts w:hint="eastAsia" w:ascii="Times New Roman" w:hAnsi="Times New Roman" w:eastAsia="宋体" w:cs="Times New Roman"/>
          <w:szCs w:val="21"/>
          <w:u w:val="none"/>
          <w:lang w:val="en-US" w:eastAsia="zh-CN"/>
        </w:rPr>
        <w:t xml:space="preserve">, </w:t>
      </w:r>
      <w:r>
        <w:rPr>
          <w:rFonts w:ascii="Times New Roman" w:hAnsi="Times New Roman" w:cs="Times New Roman"/>
          <w:szCs w:val="21"/>
          <w:u w:val="none"/>
        </w:rPr>
        <w:t>University of Navarra</w:t>
      </w:r>
    </w:p>
    <w:p>
      <w:pPr>
        <w:rPr>
          <w:rFonts w:ascii="Times New Roman" w:hAnsi="Times New Roman" w:cs="Times New Roman"/>
          <w:u w:val="none"/>
        </w:rPr>
      </w:pPr>
    </w:p>
    <w:p>
      <w:pPr>
        <w:jc w:val="center"/>
        <w:rPr>
          <w:rFonts w:ascii="Times New Roman" w:hAnsi="Times New Roman" w:cs="Times New Roman"/>
          <w:b/>
          <w:i/>
          <w:u w:val="none"/>
        </w:rPr>
      </w:pPr>
      <w:r>
        <w:rPr>
          <w:rFonts w:ascii="Times New Roman" w:hAnsi="Times New Roman" w:cs="Times New Roman"/>
          <w:b/>
          <w:u w:val="none"/>
        </w:rPr>
        <w:t>ABSTRACT</w:t>
      </w:r>
    </w:p>
    <w:p>
      <w:pPr>
        <w:rPr>
          <w:rFonts w:ascii="Times New Roman" w:hAnsi="Times New Roman" w:cs="Times New Roman"/>
          <w:u w:val="none"/>
        </w:rPr>
      </w:pPr>
      <w:r>
        <w:rPr>
          <w:rFonts w:ascii="Times New Roman" w:hAnsi="Times New Roman" w:cs="Times New Roman"/>
          <w:u w:val="none"/>
        </w:rPr>
        <w:t xml:space="preserve">The discounted value of cash flows of assets is negatively related to interest rates (i.e., the discount rate effect). However, economic activity is positively related to interest rates and positively related to the cash flows of assets with tariffs that can be adjusted to manage demand such as adjustable-rate toll roads, but uncorrelated to assets that do not bear demand risk such as non-toll roads (i.e., the cash flow effect). This effect arises in some types of assets from: (i) the positive correlation between economic activity and demand for the infrastructure assets; and (ii) the positive correlation between economic activity and inflation. We find that the cash flow effect dominated the discount rate effect for assets with tariffs that can be adjusted to manage demand and, therefore, the value of these assets increases in periods of economic expansion. Nevertheless, the opposite occurs for assets that do not bear demand risk. </w:t>
      </w:r>
    </w:p>
    <w:p>
      <w:pPr>
        <w:rPr>
          <w:rFonts w:ascii="Times New Roman" w:hAnsi="Times New Roman" w:cs="Times New Roman"/>
          <w:u w:val="none"/>
        </w:rPr>
      </w:pPr>
    </w:p>
    <w:p>
      <w:pPr>
        <w:rPr>
          <w:rFonts w:ascii="Times New Roman" w:hAnsi="Times New Roman" w:cs="Times New Roman"/>
          <w:u w:val="none"/>
        </w:rPr>
      </w:pPr>
      <w:r>
        <w:rPr>
          <w:rFonts w:ascii="Times New Roman" w:hAnsi="Times New Roman" w:cs="Times New Roman"/>
          <w:b/>
          <w:i/>
          <w:u w:val="none"/>
        </w:rPr>
        <w:t xml:space="preserve">Keywords: </w:t>
      </w:r>
      <w:r>
        <w:rPr>
          <w:rFonts w:ascii="Times New Roman" w:hAnsi="Times New Roman" w:cs="Times New Roman"/>
          <w:u w:val="none"/>
        </w:rPr>
        <w:t xml:space="preserve">Transportation infrastructure; </w:t>
      </w:r>
      <w:r>
        <w:rPr>
          <w:rFonts w:hint="eastAsia" w:ascii="Times New Roman" w:hAnsi="Times New Roman" w:eastAsia="宋体" w:cs="Times New Roman"/>
          <w:u w:val="none"/>
          <w:lang w:val="en-US" w:eastAsia="zh-CN"/>
        </w:rPr>
        <w:t>h</w:t>
      </w:r>
      <w:r>
        <w:rPr>
          <w:rFonts w:ascii="Times New Roman" w:hAnsi="Times New Roman" w:cs="Times New Roman"/>
          <w:u w:val="none"/>
        </w:rPr>
        <w:t xml:space="preserve">ighways valuation; </w:t>
      </w:r>
      <w:r>
        <w:rPr>
          <w:rFonts w:hint="eastAsia" w:ascii="Times New Roman" w:hAnsi="Times New Roman" w:eastAsia="宋体" w:cs="Times New Roman"/>
          <w:u w:val="none"/>
          <w:lang w:val="en-US" w:eastAsia="zh-CN"/>
        </w:rPr>
        <w:t>i</w:t>
      </w:r>
      <w:r>
        <w:rPr>
          <w:rFonts w:ascii="Times New Roman" w:hAnsi="Times New Roman" w:cs="Times New Roman"/>
          <w:u w:val="none"/>
        </w:rPr>
        <w:t xml:space="preserve">nterest rates; </w:t>
      </w:r>
      <w:r>
        <w:rPr>
          <w:rFonts w:hint="eastAsia" w:ascii="Times New Roman" w:hAnsi="Times New Roman" w:eastAsia="宋体" w:cs="Times New Roman"/>
          <w:u w:val="none"/>
          <w:lang w:val="en-US" w:eastAsia="zh-CN"/>
        </w:rPr>
        <w:t>m</w:t>
      </w:r>
      <w:r>
        <w:rPr>
          <w:rFonts w:ascii="Times New Roman" w:hAnsi="Times New Roman" w:cs="Times New Roman"/>
          <w:u w:val="none"/>
        </w:rPr>
        <w:t xml:space="preserve">ultivariate VAR analysis; </w:t>
      </w:r>
      <w:r>
        <w:rPr>
          <w:rFonts w:hint="eastAsia" w:ascii="Times New Roman" w:hAnsi="Times New Roman" w:eastAsia="宋体" w:cs="Times New Roman"/>
          <w:u w:val="none"/>
          <w:lang w:val="en-US" w:eastAsia="zh-CN"/>
        </w:rPr>
        <w:t>m</w:t>
      </w:r>
      <w:r>
        <w:rPr>
          <w:rFonts w:ascii="Times New Roman" w:hAnsi="Times New Roman" w:cs="Times New Roman"/>
          <w:u w:val="none"/>
        </w:rPr>
        <w:t>odel parameterization</w:t>
      </w:r>
    </w:p>
    <w:p>
      <w:pPr>
        <w:spacing w:line="276" w:lineRule="auto"/>
        <w:rPr>
          <w:rFonts w:ascii="Times New Roman" w:hAnsi="Times New Roman" w:cs="Times New Roman"/>
          <w:u w:val="none"/>
        </w:rPr>
      </w:pPr>
    </w:p>
    <w:p>
      <w:pPr>
        <w:spacing w:line="276" w:lineRule="auto"/>
        <w:rPr>
          <w:rFonts w:ascii="Times New Roman" w:hAnsi="Times New Roman" w:cs="Times New Roman"/>
          <w:b/>
          <w:szCs w:val="21"/>
          <w:u w:val="none"/>
        </w:rPr>
      </w:pPr>
      <w:r>
        <w:rPr>
          <w:rFonts w:ascii="Times New Roman" w:hAnsi="Times New Roman" w:cs="Times New Roman"/>
          <w:b/>
          <w:szCs w:val="21"/>
          <w:u w:val="none"/>
        </w:rPr>
        <w:t>1. Introduction</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bookmarkStart w:id="0" w:name="_Hlk515022558"/>
      <w:r>
        <w:rPr>
          <w:rFonts w:ascii="Times New Roman" w:hAnsi="Times New Roman" w:eastAsia="Times New Roman" w:cs="Times New Roman"/>
          <w:sz w:val="21"/>
          <w:szCs w:val="21"/>
          <w:u w:val="none"/>
        </w:rPr>
        <w:t>The valuation of any asset that produces cash flows is affected by the dynamics of interest rates. Specifically, the value of an asset that produces a given stream of cash flows decreases when interest rates increase because this stream of expected cash flows is discounted at a higher discount rate. Therefore, c</w:t>
      </w:r>
      <w:r>
        <w:rPr>
          <w:rFonts w:ascii="Times New Roman" w:hAnsi="Times New Roman" w:eastAsia="Times New Roman" w:cs="Times New Roman"/>
          <w:i/>
          <w:sz w:val="21"/>
          <w:szCs w:val="21"/>
          <w:u w:val="none"/>
        </w:rPr>
        <w:t>eteris paribus</w:t>
      </w:r>
      <w:r>
        <w:rPr>
          <w:rFonts w:ascii="Times New Roman" w:hAnsi="Times New Roman" w:eastAsia="Times New Roman" w:cs="Times New Roman"/>
          <w:sz w:val="21"/>
          <w:szCs w:val="21"/>
          <w:u w:val="none"/>
        </w:rPr>
        <w:t xml:space="preserve">, the discounted value of cash flows of assets is negatively related to interest rates. We denote this relationship as the </w:t>
      </w:r>
      <w:r>
        <w:rPr>
          <w:rFonts w:ascii="Times New Roman" w:hAnsi="Times New Roman" w:eastAsia="Times New Roman" w:cs="Times New Roman"/>
          <w:i/>
          <w:sz w:val="21"/>
          <w:szCs w:val="21"/>
          <w:u w:val="none"/>
        </w:rPr>
        <w:t>discount rate effect</w:t>
      </w:r>
      <w:r>
        <w:rPr>
          <w:rFonts w:ascii="Times New Roman" w:hAnsi="Times New Roman" w:eastAsia="Times New Roman" w:cs="Times New Roman"/>
          <w:sz w:val="21"/>
          <w:szCs w:val="21"/>
          <w:u w:val="none"/>
        </w:rPr>
        <w:t xml:space="preserve">. </w:t>
      </w:r>
    </w:p>
    <w:bookmarkEnd w:id="0"/>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Since a large amount of infrastructure assets present cash flows that are uncorrelated (e.g., constant) or with little correlation with interest rates (e.g., tariffs adjusted according to a concession contract), investors could imply that an increase in interest rates would cause a decline in the value of infrastructure assets. However, many infrastructure assets present a stream of cash flows that is positively related to the dynamics of interest rates. This is due to the fact that periods of increasing interest rates are usually related to economic expansions and, therefore, periods of growth in tariffs and traffic, which increase the cash flows of the infrastructure asset. Therefore, c</w:t>
      </w:r>
      <w:r>
        <w:rPr>
          <w:rFonts w:ascii="Times New Roman" w:hAnsi="Times New Roman" w:eastAsia="Times New Roman" w:cs="Times New Roman"/>
          <w:i/>
          <w:sz w:val="21"/>
          <w:szCs w:val="21"/>
          <w:u w:val="none"/>
        </w:rPr>
        <w:t>eteris paribus</w:t>
      </w:r>
      <w:r>
        <w:rPr>
          <w:rFonts w:ascii="Times New Roman" w:hAnsi="Times New Roman" w:eastAsia="Times New Roman" w:cs="Times New Roman"/>
          <w:sz w:val="21"/>
          <w:szCs w:val="21"/>
          <w:u w:val="none"/>
        </w:rPr>
        <w:t xml:space="preserve">, the discounted value of cash flows of assets is positively related to economic activity (e.g., detrended GDP), which is positively connected to interest rates. We denote this positive relationship between cash flows and the value of the asset as </w:t>
      </w:r>
      <w:r>
        <w:rPr>
          <w:rFonts w:ascii="Times New Roman" w:hAnsi="Times New Roman" w:eastAsia="Times New Roman" w:cs="Times New Roman"/>
          <w:i/>
          <w:sz w:val="21"/>
          <w:szCs w:val="21"/>
          <w:u w:val="none"/>
        </w:rPr>
        <w:t>the cash flow effect</w:t>
      </w:r>
      <w:r>
        <w:rPr>
          <w:rFonts w:ascii="Times New Roman" w:hAnsi="Times New Roman" w:eastAsia="Times New Roman" w:cs="Times New Roman"/>
          <w:sz w:val="21"/>
          <w:szCs w:val="21"/>
          <w:u w:val="none"/>
        </w:rPr>
        <w:t xml:space="preserve">.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In this paper, we show that the negative relationship between interest rates and the value of infrastructure assets is only present in infrastructures in which the </w:t>
      </w:r>
      <w:r>
        <w:rPr>
          <w:rFonts w:ascii="Times New Roman" w:hAnsi="Times New Roman" w:eastAsia="Times New Roman" w:cs="Times New Roman"/>
          <w:i/>
          <w:sz w:val="21"/>
          <w:szCs w:val="21"/>
          <w:u w:val="none"/>
        </w:rPr>
        <w:t>discount rate effect</w:t>
      </w:r>
      <w:r>
        <w:rPr>
          <w:rFonts w:ascii="Times New Roman" w:hAnsi="Times New Roman" w:eastAsia="Times New Roman" w:cs="Times New Roman"/>
          <w:sz w:val="21"/>
          <w:szCs w:val="21"/>
          <w:u w:val="none"/>
        </w:rPr>
        <w:t xml:space="preserve"> dominates the </w:t>
      </w:r>
      <w:r>
        <w:rPr>
          <w:rFonts w:ascii="Times New Roman" w:hAnsi="Times New Roman" w:eastAsia="Times New Roman" w:cs="Times New Roman"/>
          <w:i/>
          <w:sz w:val="21"/>
          <w:szCs w:val="21"/>
          <w:u w:val="none"/>
        </w:rPr>
        <w:t>cash flow effect</w:t>
      </w:r>
      <w:r>
        <w:rPr>
          <w:rFonts w:ascii="Times New Roman" w:hAnsi="Times New Roman" w:eastAsia="Times New Roman" w:cs="Times New Roman"/>
          <w:sz w:val="21"/>
          <w:szCs w:val="21"/>
          <w:u w:val="none"/>
        </w:rPr>
        <w:t xml:space="preserve">, that is, in infrastructures in which the cash flows do not grow in a substantial amount in periods of increasing interest rates. There are many infrastructures in which the </w:t>
      </w:r>
      <w:r>
        <w:rPr>
          <w:rFonts w:ascii="Times New Roman" w:hAnsi="Times New Roman" w:eastAsia="Times New Roman" w:cs="Times New Roman"/>
          <w:i/>
          <w:sz w:val="21"/>
          <w:szCs w:val="21"/>
          <w:u w:val="none"/>
        </w:rPr>
        <w:t>cash flow effect</w:t>
      </w:r>
      <w:r>
        <w:rPr>
          <w:rFonts w:ascii="Times New Roman" w:hAnsi="Times New Roman" w:eastAsia="Times New Roman" w:cs="Times New Roman"/>
          <w:sz w:val="21"/>
          <w:szCs w:val="21"/>
          <w:u w:val="none"/>
        </w:rPr>
        <w:t xml:space="preserve"> dominates the </w:t>
      </w:r>
      <w:r>
        <w:rPr>
          <w:rFonts w:ascii="Times New Roman" w:hAnsi="Times New Roman" w:eastAsia="Times New Roman" w:cs="Times New Roman"/>
          <w:i/>
          <w:sz w:val="21"/>
          <w:szCs w:val="21"/>
          <w:u w:val="none"/>
        </w:rPr>
        <w:t>discount rate effect</w:t>
      </w:r>
      <w:r>
        <w:rPr>
          <w:rFonts w:ascii="Times New Roman" w:hAnsi="Times New Roman" w:eastAsia="Times New Roman" w:cs="Times New Roman"/>
          <w:sz w:val="21"/>
          <w:szCs w:val="21"/>
          <w:u w:val="none"/>
        </w:rPr>
        <w:t xml:space="preserve"> and, therefore, there is a positive relationship between interest rates and the value of infrastructure assets.</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We specifically analyze the effect of interest rates in the value of the 5 types of highway infrastructure assets according to the payments that they obtain:</w:t>
      </w:r>
    </w:p>
    <w:p>
      <w:pPr>
        <w:pStyle w:val="26"/>
        <w:numPr>
          <w:ilvl w:val="0"/>
          <w:numId w:val="2"/>
        </w:numPr>
        <w:spacing w:before="240" w:after="120" w:line="276" w:lineRule="auto"/>
        <w:ind w:left="426" w:hanging="426"/>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Category 1: Infrastructure assets with total fixed payments and no price adjustments. The Government periodically pays a predetermined fixed amount. This type of assets does not bear demand risk because the total fixed payments do not depend on the use of the asset. A non-toll road in which the Government pays a fixed amount to a firm that operates a private concession on the road is an example of a Category 1 asset. </w:t>
      </w:r>
    </w:p>
    <w:p>
      <w:pPr>
        <w:pStyle w:val="26"/>
        <w:numPr>
          <w:ilvl w:val="0"/>
          <w:numId w:val="2"/>
        </w:numPr>
        <w:spacing w:before="240" w:after="120" w:line="276" w:lineRule="auto"/>
        <w:ind w:left="426" w:hanging="426"/>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Category 2: Infrastructure assets with total fixed payments and inflation-adjusted prices. The Government periodically pays a predetermined inflation-adjusted amount. This type of assets does not bear demand risk because the total fixed payments do not depend on the use of the asset. A non-toll road in which the Government pays a fixed amount that is periodically adjusted with inflation to a firm that operates a private concession on the road is an example of a Category 2 asset.</w:t>
      </w:r>
    </w:p>
    <w:p>
      <w:pPr>
        <w:pStyle w:val="26"/>
        <w:numPr>
          <w:ilvl w:val="0"/>
          <w:numId w:val="2"/>
        </w:numPr>
        <w:spacing w:before="240" w:after="120" w:line="276" w:lineRule="auto"/>
        <w:ind w:left="426" w:hanging="426"/>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Category 3: Infrastructure assets with a pay-per-use pre-fixed inflation-adjusted tariff. This type of assets bears demand risk. A toll road in which users pay a pre-fixed toll rate amount that is periodically adjusted with inflation is an example of a Category 3 asset.</w:t>
      </w:r>
    </w:p>
    <w:p>
      <w:pPr>
        <w:pStyle w:val="26"/>
        <w:numPr>
          <w:ilvl w:val="0"/>
          <w:numId w:val="2"/>
        </w:numPr>
        <w:spacing w:before="240" w:after="120" w:line="276" w:lineRule="auto"/>
        <w:ind w:left="426" w:hanging="426"/>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Category 4: Infrastructure assets with a pay-per-use escalated tariff. The scale of tariffs is determined in terms of economic activity (e.g., GDP per capita) and there is usually a maximum value for the tariff increase. This type of assets bears demand risk. A toll road in which users reimburse a pay-per-use escalated toll that is periodically adjusted with respect to changes in the economic activity is an example of a Category 4 asset.</w:t>
      </w:r>
    </w:p>
    <w:p>
      <w:pPr>
        <w:pStyle w:val="26"/>
        <w:numPr>
          <w:ilvl w:val="0"/>
          <w:numId w:val="2"/>
        </w:numPr>
        <w:spacing w:before="240" w:after="120" w:line="276" w:lineRule="auto"/>
        <w:ind w:left="426" w:hanging="426"/>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Category 5: Infrastructure assets with a free adjustable-rate tariff mechanism subject to a certain level of service. This type of assets bears demand risk and the operator of the infrastructure can raise or decrease the tariffs according to the willingness-to-pay of the users. Specifically, notice that the tariffs for the use of this type of infrastructure assets can increase above the inflation rate of the economy. A toll road in which users reimburse a pay-per-use toll that is used to manage its demand is an example of a Category 5 asset.</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We first focus on the </w:t>
      </w:r>
      <w:r>
        <w:rPr>
          <w:rFonts w:ascii="Times New Roman" w:hAnsi="Times New Roman" w:eastAsia="Times New Roman" w:cs="Times New Roman"/>
          <w:i/>
          <w:iCs/>
          <w:sz w:val="21"/>
          <w:szCs w:val="21"/>
          <w:u w:val="none"/>
        </w:rPr>
        <w:t>discount rate effect</w:t>
      </w:r>
      <w:r>
        <w:rPr>
          <w:rFonts w:ascii="Times New Roman" w:hAnsi="Times New Roman" w:eastAsia="Times New Roman" w:cs="Times New Roman"/>
          <w:sz w:val="21"/>
          <w:szCs w:val="21"/>
          <w:u w:val="none"/>
        </w:rPr>
        <w:t xml:space="preserve">, which is the effect of the discount rate at which we discount cash flows to obtain an estimation of the value of an infrastructure asset. Because the relationship between economic activity and interest rates is positive, </w:t>
      </w:r>
      <w:r>
        <w:rPr>
          <w:rFonts w:ascii="Times New Roman" w:hAnsi="Times New Roman" w:eastAsia="Times New Roman" w:cs="Times New Roman"/>
          <w:i/>
          <w:iCs/>
          <w:sz w:val="21"/>
          <w:szCs w:val="21"/>
          <w:u w:val="none"/>
        </w:rPr>
        <w:t>ceteris paribus</w:t>
      </w:r>
      <w:r>
        <w:rPr>
          <w:rFonts w:ascii="Times New Roman" w:hAnsi="Times New Roman" w:eastAsia="Times New Roman" w:cs="Times New Roman"/>
          <w:sz w:val="21"/>
          <w:szCs w:val="21"/>
          <w:u w:val="none"/>
        </w:rPr>
        <w:t xml:space="preserve"> the discounted value of cash flows of assets is negatively correlated to economic activity. In other words, higher interest rates usually lead to higher discount rates, which provide lower present value of future cash flows.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We also study the </w:t>
      </w:r>
      <w:r>
        <w:rPr>
          <w:rFonts w:ascii="Times New Roman" w:hAnsi="Times New Roman" w:eastAsia="Times New Roman" w:cs="Times New Roman"/>
          <w:i/>
          <w:iCs/>
          <w:sz w:val="21"/>
          <w:szCs w:val="21"/>
          <w:u w:val="none"/>
        </w:rPr>
        <w:t>cash flow effect</w:t>
      </w:r>
      <w:r>
        <w:rPr>
          <w:rFonts w:ascii="Times New Roman" w:hAnsi="Times New Roman" w:eastAsia="Times New Roman" w:cs="Times New Roman"/>
          <w:sz w:val="21"/>
          <w:szCs w:val="21"/>
          <w:u w:val="none"/>
        </w:rPr>
        <w:t>, which is the effect of interest rates and economic activity on the value of infrastructure assets. Because economic activity (e.g., GDP growth) is positively correlated to the cash flows of assets with tariffs that can be adjusted to manage demand (e.g., category 5 assets), but uncorrelated to assets that do not bear demand risk (e.g., category 1 assets), an increase in economic activity increases the cash flows of the former but not the later type of assets. This effect arises in some types of infrastructures assets from two sources. First, the positive correlation between economic activity and demand for infrastructure assets increases their cash flows, that is, the number of users of the infrastructure asset increases in periods of economic expansion. Second, the positive correlation between economic activity and prices of goods and services increases the cash flows of infrastructure assets. For example, the tariffs that users pay for the use of an infrastructure asset tend to increase in periods of economic expansion. This price</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increase is in play because supply cannot account for the shock in demand derived from the economic expansion. Notice that tariffs will increase above inflation in infrastructure assets of category 5 in which supply is inelastic (e.g., most of transportation infrastructure assets) because the operators of these assets may raise tariffs according to the high willingness-to-pay in periods of economic expansion.</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We develop an econometric analysis and we find that the cash flow effect dominates the discount rate effect for assets with tariffs that can be adjusted to manage demand (e.g., category 5 assets). Therefore, the value of these assets increases in periods of economic expansion. Nevertheless, the opposite result occurs for assets that do not bear demand risk (e.g., category 1 assets), in which the value of these assets decreases.</w:t>
      </w:r>
    </w:p>
    <w:p>
      <w:pPr>
        <w:pStyle w:val="26"/>
        <w:spacing w:before="240" w:after="120" w:line="276" w:lineRule="auto"/>
        <w:ind w:left="0"/>
        <w:contextualSpacing w:val="0"/>
        <w:jc w:val="both"/>
        <w:rPr>
          <w:rFonts w:ascii="Times New Roman" w:hAnsi="Times New Roman" w:cs="Times New Roman" w:eastAsiaTheme="minorEastAsia"/>
          <w:sz w:val="21"/>
          <w:szCs w:val="21"/>
          <w:u w:val="none"/>
          <w:lang w:eastAsia="zh-CN"/>
        </w:rPr>
      </w:pPr>
      <w:r>
        <w:rPr>
          <w:rFonts w:ascii="Times New Roman" w:hAnsi="Times New Roman" w:eastAsia="Times New Roman" w:cs="Times New Roman"/>
          <w:sz w:val="21"/>
          <w:szCs w:val="21"/>
          <w:u w:val="none"/>
        </w:rPr>
        <w:t xml:space="preserve">The reminder of the paper is organized as follows. In section 2, we describe the macroeconomic framework that rationalizes the relationships among inflation, interest rates and GDP and the effect of monetary policy on these variables. Section 3 provides an econometric analysis of the joint effects of economic activity in Canada (i.e., Canadian inflation, GDP growth, nominal interest rates, and real interest rates) and the revenue growth of a category 5 infrastructure in Canada: highway 407 ETR. Section 4 studies a valuation model of highway infrastructure assets and compare the effects of economic activity on the 5 categories of infrastructure assets described above on their values. Finally, section 5 concludes. </w:t>
      </w:r>
    </w:p>
    <w:p>
      <w:pPr>
        <w:rPr>
          <w:rFonts w:ascii="Times New Roman" w:hAnsi="Times New Roman" w:cs="Times New Roman"/>
          <w:b/>
          <w:sz w:val="22"/>
          <w:u w:val="none"/>
        </w:rPr>
      </w:pPr>
      <w:r>
        <w:rPr>
          <w:rFonts w:ascii="Times New Roman" w:hAnsi="Times New Roman" w:cs="Times New Roman"/>
          <w:b/>
          <w:sz w:val="22"/>
          <w:u w:val="none"/>
        </w:rPr>
        <w:t>2. The macroeconomic framework: monetary policy, interest rates, inflation, GDP, and exchange rates</w:t>
      </w:r>
    </w:p>
    <w:p>
      <w:pPr>
        <w:rPr>
          <w:rFonts w:ascii="Times New Roman" w:hAnsi="Times New Roman" w:eastAsia="Times New Roman" w:cs="Times New Roman"/>
          <w:szCs w:val="21"/>
          <w:u w:val="none"/>
        </w:rPr>
      </w:pPr>
      <w:r>
        <w:rPr>
          <w:rFonts w:ascii="Times New Roman" w:hAnsi="Times New Roman" w:eastAsia="Times New Roman" w:cs="Times New Roman"/>
          <w:szCs w:val="21"/>
          <w:u w:val="none"/>
        </w:rPr>
        <w:t>Monetary authorities such as the Federal Reserve, the European Central Bank, the Bank of England, the Bank of Canada, and other central banks, influence interest rates and, indirectly they affect employment rates, the output gap, and inflation. The monetary transmission mechanism is the process that links the monetary policy to the performance of the economy. Monetary policy is referred to the actions of central banks. The performance of the economy is measured in terms of indicators such as the real gross domestic product (GDP), the output gap, and inflation. Central banks respond to the economic performance with their monetary policies, which affect the short-term nominal interest rates and closes the circle. Figure 1 summarizes this cyclical process that goes from the performance of the economy, to the monetary policy of the central bank, and the transmission of this monetary policy back to the economy. This figure also displays how this cycle affects infrastructure assets.</w:t>
      </w:r>
    </w:p>
    <w:p>
      <w:pPr>
        <w:pStyle w:val="26"/>
        <w:spacing w:before="240" w:after="120" w:line="360" w:lineRule="auto"/>
        <w:ind w:left="0"/>
        <w:contextualSpacing w:val="0"/>
        <w:jc w:val="center"/>
        <w:rPr>
          <w:rFonts w:ascii="Times New Roman" w:hAnsi="Times New Roman" w:cs="Times New Roman"/>
          <w:sz w:val="24"/>
          <w:szCs w:val="24"/>
          <w:u w:val="none"/>
        </w:rPr>
      </w:pPr>
      <w:r>
        <w:rPr>
          <w:u w:val="none"/>
          <w:lang w:val="es-ES" w:eastAsia="es-ES"/>
        </w:rPr>
        <w:drawing>
          <wp:inline distT="0" distB="0" distL="0" distR="0">
            <wp:extent cx="3291840" cy="2602230"/>
            <wp:effectExtent l="0" t="0" r="381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7055"/>
                    <a:stretch>
                      <a:fillRect/>
                    </a:stretch>
                  </pic:blipFill>
                  <pic:spPr>
                    <a:xfrm>
                      <a:off x="0" y="0"/>
                      <a:ext cx="3311024" cy="2617721"/>
                    </a:xfrm>
                    <a:prstGeom prst="rect">
                      <a:avLst/>
                    </a:prstGeom>
                    <a:noFill/>
                    <a:ln>
                      <a:noFill/>
                    </a:ln>
                  </pic:spPr>
                </pic:pic>
              </a:graphicData>
            </a:graphic>
          </wp:inline>
        </w:drawing>
      </w:r>
    </w:p>
    <w:p>
      <w:pPr>
        <w:pStyle w:val="26"/>
        <w:spacing w:after="0" w:line="240" w:lineRule="auto"/>
        <w:ind w:left="0"/>
        <w:contextualSpacing w:val="0"/>
        <w:jc w:val="left"/>
        <w:rPr>
          <w:rFonts w:ascii="Times New Roman" w:hAnsi="Times New Roman" w:eastAsia="Times New Roman" w:cs="Times New Roman"/>
          <w:b w:val="0"/>
          <w:bCs/>
          <w:sz w:val="20"/>
          <w:szCs w:val="20"/>
          <w:u w:val="none"/>
        </w:rPr>
      </w:pPr>
      <w:r>
        <w:rPr>
          <w:rFonts w:ascii="Times New Roman" w:hAnsi="Times New Roman" w:eastAsia="Times New Roman" w:cs="Times New Roman"/>
          <w:b/>
          <w:bCs w:val="0"/>
          <w:sz w:val="20"/>
          <w:szCs w:val="20"/>
          <w:u w:val="none"/>
        </w:rPr>
        <w:t>Figure 1.</w:t>
      </w:r>
      <w:r>
        <w:rPr>
          <w:rFonts w:hint="eastAsia" w:ascii="Times New Roman" w:hAnsi="Times New Roman" w:eastAsia="宋体" w:cs="Times New Roman"/>
          <w:b/>
          <w:bCs w:val="0"/>
          <w:sz w:val="20"/>
          <w:szCs w:val="20"/>
          <w:u w:val="none"/>
          <w:lang w:val="en-US" w:eastAsia="zh-CN"/>
        </w:rPr>
        <w:t xml:space="preserve"> </w:t>
      </w:r>
      <w:r>
        <w:rPr>
          <w:rFonts w:ascii="Times New Roman" w:hAnsi="Times New Roman" w:eastAsia="Times New Roman" w:cs="Times New Roman"/>
          <w:b w:val="0"/>
          <w:bCs/>
          <w:sz w:val="20"/>
          <w:szCs w:val="20"/>
          <w:u w:val="none"/>
        </w:rPr>
        <w:t>Performance of the economy, monetary policy, and its transmission. This figure shows how a shock in the real GDP affects interest rates through inflation, monetary policy and the monetary transmission mechanism.</w:t>
      </w:r>
    </w:p>
    <w:p>
      <w:pPr>
        <w:pStyle w:val="26"/>
        <w:spacing w:after="0" w:line="240" w:lineRule="auto"/>
        <w:ind w:left="0"/>
        <w:contextualSpacing w:val="0"/>
        <w:jc w:val="left"/>
        <w:rPr>
          <w:rFonts w:ascii="Times New Roman" w:hAnsi="Times New Roman" w:eastAsia="Times New Roman" w:cs="Times New Roman"/>
          <w:b w:val="0"/>
          <w:bCs/>
          <w:sz w:val="21"/>
          <w:szCs w:val="21"/>
          <w:u w:val="none"/>
        </w:rPr>
      </w:pPr>
      <w:r>
        <w:rPr>
          <w:rFonts w:ascii="Times New Roman" w:hAnsi="Times New Roman" w:eastAsia="Times New Roman" w:cs="Times New Roman"/>
          <w:b w:val="0"/>
          <w:bCs/>
          <w:sz w:val="21"/>
          <w:szCs w:val="21"/>
          <w:u w:val="none"/>
        </w:rPr>
        <w:t>The monetary transmission mechanism shows the effects of monetary policy in the macroeconomic variables, in particular the real GDP. It explains how the central bank’s target interest rate (i.e., the short-term nominal interest rate) affects different interest rates in the economy and, consequently, how it affects investments. This mechanism goes as follows. The central bank operates in the financial markets to target a specific short-term nominal interest rate, which affects the long-term nominal interest rate through the yield curve or term structure of interest rates. This leads to a change in the long-term real interest rate, which in turn has an effect on long-term investments, such as investments in durable goods and infrastructure assets. Finally, these changes in investments affect the real GDP.</w:t>
      </w:r>
    </w:p>
    <w:p>
      <w:pPr>
        <w:pStyle w:val="26"/>
        <w:spacing w:after="0" w:line="240" w:lineRule="auto"/>
        <w:ind w:left="0"/>
        <w:contextualSpacing w:val="0"/>
        <w:jc w:val="both"/>
        <w:rPr>
          <w:rFonts w:ascii="Times New Roman" w:hAnsi="Times New Roman" w:eastAsia="Times New Roman" w:cs="Times New Roman"/>
          <w:sz w:val="20"/>
          <w:szCs w:val="20"/>
          <w:u w:val="none"/>
        </w:rPr>
      </w:pPr>
    </w:p>
    <w:p>
      <w:pPr>
        <w:jc w:val="center"/>
        <w:rPr>
          <w:rFonts w:hint="default" w:ascii="Times New Roman" w:hAnsi="Times New Roman" w:cs="Times New Roman"/>
          <w:b/>
          <w:szCs w:val="21"/>
          <w:u w:val="none"/>
        </w:rPr>
      </w:pPr>
      <w:r>
        <w:rPr>
          <w:u w:val="none"/>
          <w:lang w:val="es-ES" w:eastAsia="es-ES"/>
        </w:rPr>
        <w:drawing>
          <wp:inline distT="0" distB="0" distL="0" distR="0">
            <wp:extent cx="4770755" cy="3419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73507" cy="3421837"/>
                    </a:xfrm>
                    <a:prstGeom prst="rect">
                      <a:avLst/>
                    </a:prstGeom>
                    <a:noFill/>
                    <a:ln>
                      <a:noFill/>
                    </a:ln>
                  </pic:spPr>
                </pic:pic>
              </a:graphicData>
            </a:graphic>
          </wp:inline>
        </w:drawing>
      </w:r>
    </w:p>
    <w:p>
      <w:pPr>
        <w:pStyle w:val="26"/>
        <w:spacing w:after="0" w:line="240" w:lineRule="auto"/>
        <w:ind w:left="0"/>
        <w:contextualSpacing w:val="0"/>
        <w:jc w:val="center"/>
        <w:rPr>
          <w:rFonts w:ascii="Times New Roman" w:hAnsi="Times New Roman" w:eastAsia="Times New Roman" w:cs="Times New Roman"/>
          <w:sz w:val="20"/>
          <w:szCs w:val="20"/>
          <w:u w:val="none"/>
        </w:rPr>
      </w:pPr>
      <w:r>
        <w:rPr>
          <w:rFonts w:ascii="Times New Roman" w:hAnsi="Times New Roman" w:eastAsia="Times New Roman" w:cs="Times New Roman"/>
          <w:b/>
          <w:sz w:val="20"/>
          <w:szCs w:val="20"/>
          <w:u w:val="none"/>
        </w:rPr>
        <w:t xml:space="preserve">Figure 2. </w:t>
      </w:r>
      <w:r>
        <w:rPr>
          <w:rFonts w:ascii="Times New Roman" w:hAnsi="Times New Roman" w:eastAsia="Times New Roman" w:cs="Times New Roman"/>
          <w:sz w:val="20"/>
          <w:szCs w:val="20"/>
          <w:u w:val="none"/>
        </w:rPr>
        <w:t>Monetary policy, inflation, interest rates, and GDP</w:t>
      </w:r>
      <w:r>
        <w:rPr>
          <w:rFonts w:ascii="Times New Roman" w:hAnsi="Times New Roman" w:eastAsia="Times New Roman" w:cs="Times New Roman"/>
          <w:b/>
          <w:sz w:val="20"/>
          <w:szCs w:val="20"/>
          <w:u w:val="none"/>
        </w:rPr>
        <w:t>.</w:t>
      </w:r>
      <w:r>
        <w:rPr>
          <w:rFonts w:ascii="Times New Roman" w:hAnsi="Times New Roman" w:eastAsia="Times New Roman" w:cs="Times New Roman"/>
          <w:sz w:val="20"/>
          <w:szCs w:val="20"/>
          <w:u w:val="none"/>
        </w:rPr>
        <w:t xml:space="preserve"> This figure summarizes the economic theory behind the monetary transmission mechanism.</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Figure 2 summarizes in economic terms the monetary transmission mechanism developed in figure 1 and rationalizes how central banks adjust inflation. Let us assume that the economy is in a period of expansion, the real GPD is high (i.e., the output at time </w:t>
      </w:r>
      <w:r>
        <w:rPr>
          <w:rFonts w:ascii="Times New Roman" w:hAnsi="Times New Roman" w:eastAsia="Times New Roman" w:cs="Times New Roman"/>
          <w:i/>
          <w:iCs/>
          <w:sz w:val="21"/>
          <w:szCs w:val="21"/>
          <w:u w:val="none"/>
        </w:rPr>
        <w:t>t-1</w:t>
      </w:r>
      <w:r>
        <w:rPr>
          <w:rFonts w:ascii="Times New Roman" w:hAnsi="Times New Roman" w:eastAsia="Times New Roman" w:cs="Times New Roman"/>
          <w:sz w:val="21"/>
          <w:szCs w:val="21"/>
          <w:u w:val="none"/>
        </w:rPr>
        <w:t xml:space="preserve"> is high), and as a result, inflation, </w:t>
      </w:r>
      <w:r>
        <w:rPr>
          <w:rFonts w:ascii="Times New Roman" w:hAnsi="Times New Roman" w:eastAsia="Times New Roman" w:cs="Times New Roman"/>
          <w:i/>
          <w:iCs/>
          <w:sz w:val="21"/>
          <w:szCs w:val="21"/>
          <w:u w:val="none"/>
        </w:rPr>
        <w:t>i</w:t>
      </w:r>
      <w:r>
        <w:rPr>
          <w:rFonts w:ascii="Times New Roman" w:hAnsi="Times New Roman" w:eastAsia="Times New Roman" w:cs="Times New Roman"/>
          <w:i/>
          <w:iCs/>
          <w:sz w:val="21"/>
          <w:szCs w:val="21"/>
          <w:u w:val="none"/>
          <w:vertAlign w:val="subscript"/>
        </w:rPr>
        <w:t>t-1</w:t>
      </w:r>
      <w:r>
        <w:rPr>
          <w:rFonts w:ascii="Times New Roman" w:hAnsi="Times New Roman" w:eastAsia="Times New Roman" w:cs="Times New Roman"/>
          <w:sz w:val="21"/>
          <w:szCs w:val="21"/>
          <w:u w:val="none"/>
        </w:rPr>
        <w:t xml:space="preserve">, is high (point 1 of this figure). The central bank implements its rules such as a Taylor-type of model (point 2) and increases the short-term nominal interest rate to target an increase of real interest rate from </w:t>
      </w:r>
      <w:r>
        <w:rPr>
          <w:rFonts w:ascii="Times New Roman" w:hAnsi="Times New Roman" w:eastAsia="Times New Roman" w:cs="Times New Roman"/>
          <w:i/>
          <w:iCs/>
          <w:sz w:val="21"/>
          <w:szCs w:val="21"/>
          <w:u w:val="none"/>
        </w:rPr>
        <w:t>r</w:t>
      </w:r>
      <w:r>
        <w:rPr>
          <w:rFonts w:ascii="Times New Roman" w:hAnsi="Times New Roman" w:eastAsia="Times New Roman" w:cs="Times New Roman"/>
          <w:i/>
          <w:iCs/>
          <w:sz w:val="21"/>
          <w:szCs w:val="21"/>
          <w:u w:val="none"/>
          <w:vertAlign w:val="subscript"/>
        </w:rPr>
        <w:t>t-1</w:t>
      </w:r>
      <w:r>
        <w:rPr>
          <w:rFonts w:ascii="Times New Roman" w:hAnsi="Times New Roman" w:eastAsia="Times New Roman" w:cs="Times New Roman"/>
          <w:sz w:val="21"/>
          <w:szCs w:val="21"/>
          <w:u w:val="none"/>
          <w:vertAlign w:val="subscript"/>
        </w:rPr>
        <w:t xml:space="preserve"> </w:t>
      </w:r>
      <w:r>
        <w:rPr>
          <w:rFonts w:ascii="Times New Roman" w:hAnsi="Times New Roman" w:eastAsia="Times New Roman" w:cs="Times New Roman"/>
          <w:sz w:val="21"/>
          <w:szCs w:val="21"/>
          <w:u w:val="none"/>
        </w:rPr>
        <w:t xml:space="preserve">to </w:t>
      </w:r>
      <w:r>
        <w:rPr>
          <w:rFonts w:ascii="Times New Roman" w:hAnsi="Times New Roman" w:eastAsia="Times New Roman" w:cs="Times New Roman"/>
          <w:i/>
          <w:iCs/>
          <w:sz w:val="21"/>
          <w:szCs w:val="21"/>
          <w:u w:val="none"/>
        </w:rPr>
        <w:t>r</w:t>
      </w:r>
      <w:r>
        <w:rPr>
          <w:rFonts w:ascii="Times New Roman" w:hAnsi="Times New Roman" w:eastAsia="Times New Roman" w:cs="Times New Roman"/>
          <w:i/>
          <w:iCs/>
          <w:sz w:val="21"/>
          <w:szCs w:val="21"/>
          <w:u w:val="none"/>
          <w:vertAlign w:val="subscript"/>
        </w:rPr>
        <w:t>t</w:t>
      </w:r>
      <w:r>
        <w:rPr>
          <w:rFonts w:ascii="Times New Roman" w:hAnsi="Times New Roman" w:eastAsia="Times New Roman" w:cs="Times New Roman"/>
          <w:sz w:val="21"/>
          <w:szCs w:val="21"/>
          <w:u w:val="none"/>
        </w:rPr>
        <w:t xml:space="preserve"> (point 3). This real interest rate increase should decrease inflation from </w:t>
      </w:r>
      <w:r>
        <w:rPr>
          <w:rFonts w:ascii="Times New Roman" w:hAnsi="Times New Roman" w:eastAsia="Times New Roman" w:cs="Times New Roman"/>
          <w:i/>
          <w:iCs/>
          <w:sz w:val="21"/>
          <w:szCs w:val="21"/>
          <w:u w:val="none"/>
        </w:rPr>
        <w:t>i</w:t>
      </w:r>
      <w:r>
        <w:rPr>
          <w:rFonts w:ascii="Times New Roman" w:hAnsi="Times New Roman" w:eastAsia="Times New Roman" w:cs="Times New Roman"/>
          <w:i/>
          <w:iCs/>
          <w:sz w:val="21"/>
          <w:szCs w:val="21"/>
          <w:u w:val="none"/>
          <w:vertAlign w:val="subscript"/>
        </w:rPr>
        <w:t>t-1</w:t>
      </w:r>
      <w:r>
        <w:rPr>
          <w:rFonts w:ascii="Times New Roman" w:hAnsi="Times New Roman" w:eastAsia="Times New Roman" w:cs="Times New Roman"/>
          <w:sz w:val="21"/>
          <w:szCs w:val="21"/>
          <w:u w:val="none"/>
          <w:vertAlign w:val="subscript"/>
        </w:rPr>
        <w:t xml:space="preserve"> </w:t>
      </w:r>
      <w:r>
        <w:rPr>
          <w:rFonts w:ascii="Times New Roman" w:hAnsi="Times New Roman" w:eastAsia="Times New Roman" w:cs="Times New Roman"/>
          <w:sz w:val="21"/>
          <w:szCs w:val="21"/>
          <w:u w:val="none"/>
        </w:rPr>
        <w:t xml:space="preserve">to </w:t>
      </w:r>
      <w:r>
        <w:rPr>
          <w:rFonts w:ascii="Times New Roman" w:hAnsi="Times New Roman" w:eastAsia="Times New Roman" w:cs="Times New Roman"/>
          <w:i/>
          <w:iCs/>
          <w:sz w:val="21"/>
          <w:szCs w:val="21"/>
          <w:u w:val="none"/>
        </w:rPr>
        <w:t>i</w:t>
      </w:r>
      <w:r>
        <w:rPr>
          <w:rFonts w:ascii="Times New Roman" w:hAnsi="Times New Roman" w:eastAsia="Times New Roman" w:cs="Times New Roman"/>
          <w:i/>
          <w:iCs/>
          <w:sz w:val="21"/>
          <w:szCs w:val="21"/>
          <w:u w:val="none"/>
          <w:vertAlign w:val="subscript"/>
        </w:rPr>
        <w:t>t</w:t>
      </w:r>
      <w:r>
        <w:rPr>
          <w:rFonts w:ascii="Times New Roman" w:hAnsi="Times New Roman" w:eastAsia="Times New Roman" w:cs="Times New Roman"/>
          <w:sz w:val="21"/>
          <w:szCs w:val="21"/>
          <w:u w:val="none"/>
        </w:rPr>
        <w:t xml:space="preserve"> (point 4) at the expenses of a reduction of the real GDP from </w:t>
      </w:r>
      <w:r>
        <w:rPr>
          <w:rFonts w:ascii="Times New Roman" w:hAnsi="Times New Roman" w:eastAsia="Times New Roman" w:cs="Times New Roman"/>
          <w:i/>
          <w:iCs/>
          <w:sz w:val="21"/>
          <w:szCs w:val="21"/>
          <w:u w:val="none"/>
        </w:rPr>
        <w:t>output</w:t>
      </w:r>
      <w:r>
        <w:rPr>
          <w:rFonts w:ascii="Times New Roman" w:hAnsi="Times New Roman" w:eastAsia="Times New Roman" w:cs="Times New Roman"/>
          <w:i/>
          <w:iCs/>
          <w:sz w:val="21"/>
          <w:szCs w:val="21"/>
          <w:u w:val="none"/>
          <w:vertAlign w:val="subscript"/>
        </w:rPr>
        <w:t>t</w:t>
      </w:r>
      <w:r>
        <w:rPr>
          <w:rFonts w:ascii="Times New Roman" w:hAnsi="Times New Roman" w:eastAsia="Times New Roman" w:cs="Times New Roman"/>
          <w:sz w:val="21"/>
          <w:szCs w:val="21"/>
          <w:u w:val="none"/>
        </w:rPr>
        <w:t xml:space="preserve"> to </w:t>
      </w:r>
      <w:r>
        <w:rPr>
          <w:rFonts w:ascii="Times New Roman" w:hAnsi="Times New Roman" w:eastAsia="Times New Roman" w:cs="Times New Roman"/>
          <w:i/>
          <w:iCs/>
          <w:sz w:val="21"/>
          <w:szCs w:val="21"/>
          <w:u w:val="none"/>
        </w:rPr>
        <w:t>output</w:t>
      </w:r>
      <w:r>
        <w:rPr>
          <w:rFonts w:ascii="Times New Roman" w:hAnsi="Times New Roman" w:eastAsia="Times New Roman" w:cs="Times New Roman"/>
          <w:i/>
          <w:iCs/>
          <w:sz w:val="21"/>
          <w:szCs w:val="21"/>
          <w:u w:val="none"/>
          <w:vertAlign w:val="subscript"/>
        </w:rPr>
        <w:t>t-1</w:t>
      </w:r>
      <w:r>
        <w:rPr>
          <w:rFonts w:ascii="Times New Roman" w:hAnsi="Times New Roman" w:eastAsia="Times New Roman" w:cs="Times New Roman"/>
          <w:sz w:val="21"/>
          <w:szCs w:val="21"/>
          <w:u w:val="none"/>
        </w:rPr>
        <w:t xml:space="preserve"> (point 5). In summary, </w:t>
      </w:r>
      <w:r>
        <w:rPr>
          <w:rFonts w:ascii="Times New Roman" w:hAnsi="Times New Roman" w:eastAsia="Times New Roman" w:cs="Times New Roman"/>
          <w:sz w:val="21"/>
          <w:szCs w:val="21"/>
          <w:u w:val="none"/>
        </w:rPr>
        <w:t>if the economy is in a period of expansion and inflation is high, the central bank will most likely increase the short-term nominal interest rate, which will decrease the real GDP</w:t>
      </w:r>
      <w:r>
        <w:rPr>
          <w:rFonts w:ascii="Times New Roman" w:hAnsi="Times New Roman" w:eastAsia="Times New Roman" w:cs="Times New Roman"/>
          <w:sz w:val="21"/>
          <w:szCs w:val="21"/>
          <w:u w:val="none"/>
        </w:rPr>
        <w:t xml:space="preserve">. The three graphs in figure 2 also display the three relationships among the three main variables that drive the standard macroeconomic policy research models: the real GDP, the real interest rate, and inflation.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b/>
          <w:bCs/>
          <w:i/>
          <w:iCs/>
          <w:sz w:val="21"/>
          <w:szCs w:val="21"/>
          <w:u w:val="none"/>
        </w:rPr>
        <w:t>Positive relationship between inflation and the real interest rate.</w:t>
      </w:r>
      <w:r>
        <w:rPr>
          <w:rFonts w:ascii="Times New Roman" w:hAnsi="Times New Roman" w:eastAsia="Times New Roman" w:cs="Times New Roman"/>
          <w:sz w:val="21"/>
          <w:szCs w:val="21"/>
          <w:u w:val="none"/>
        </w:rPr>
        <w:t xml:space="preserve"> (Top left graph in figure 2). When inflation increases, the central bank raises the short-term nominal interest rate. This increase in the nominal interest rate should be enough to raise the real interest rate. The goal of the central bank with this action is to stop inflation from raising and make it decrease (see Taylor, 1999)</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b/>
          <w:bCs/>
          <w:i/>
          <w:iCs/>
          <w:sz w:val="21"/>
          <w:szCs w:val="21"/>
          <w:u w:val="none"/>
        </w:rPr>
        <w:t>Negative relationship between real GDP and the real interest rate.</w:t>
      </w:r>
      <w:r>
        <w:rPr>
          <w:rFonts w:ascii="Times New Roman" w:hAnsi="Times New Roman" w:eastAsia="Times New Roman" w:cs="Times New Roman"/>
          <w:sz w:val="21"/>
          <w:szCs w:val="21"/>
          <w:u w:val="none"/>
        </w:rPr>
        <w:t xml:space="preserve"> (Top right graph in figure 2). As discussed in Taylor (2000), </w:t>
      </w:r>
      <w:r>
        <w:rPr>
          <w:rFonts w:ascii="Times New Roman" w:hAnsi="Times New Roman" w:eastAsia="Times New Roman" w:cs="Times New Roman"/>
          <w:sz w:val="21"/>
          <w:szCs w:val="21"/>
          <w:u w:val="none"/>
        </w:rPr>
        <w:t>higher real interest rates reduce the demand for goods and services in the economy,</w:t>
      </w:r>
      <w:r>
        <w:rPr>
          <w:rFonts w:ascii="Times New Roman" w:hAnsi="Times New Roman" w:eastAsia="Times New Roman" w:cs="Times New Roman"/>
          <w:sz w:val="21"/>
          <w:szCs w:val="21"/>
          <w:u w:val="none"/>
        </w:rPr>
        <w:t xml:space="preserve"> because higher real interest rates dissuade investments and decreases consumption, which reduces demand and the real GDP.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b/>
          <w:bCs/>
          <w:i/>
          <w:iCs/>
          <w:sz w:val="21"/>
          <w:szCs w:val="21"/>
          <w:u w:val="none"/>
        </w:rPr>
        <w:t xml:space="preserve">Positive relationship between inflation and real GDP. </w:t>
      </w:r>
      <w:r>
        <w:rPr>
          <w:rFonts w:ascii="Times New Roman" w:hAnsi="Times New Roman" w:eastAsia="Times New Roman" w:cs="Times New Roman"/>
          <w:sz w:val="21"/>
          <w:szCs w:val="21"/>
          <w:u w:val="none"/>
        </w:rPr>
        <w:t>(Bottom right graph in figure 2). In a standard expectations-augmented Phillips curve, inflation increases when real GDP rises above the potential GDP. The increase in real GDP signals a positive demand shock.</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There is a vast body of literature that studies the direct relationship between interest rates and inflation. In an efficient capital market without uncertainty, the one-period nominal interest rate is the equilibrium real interest rate plus the fully expected inflation rate (Fisher, 1930). The initial point of view in theoretical economics was that changes in short-term interest rates reflect fluctuations in expected inflation. In other words, short-term interest rates are positively correlated with future inflation. This relationship is commonly known as the Fisher effect (see Fisher, 1930; Fama, 1975; Nelson and Schwert, 1977; Mishkin, 1981; Mishkin, 1988; and Fama and Gibbons, 1982).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However, empirical evidence shows that the Fisher effect is not robust to different time periods or countries. Several studies in the 1970s and 80s documented the failure of the short-run Fisher effect in which changes in interest rates are related to changes in expected inflation (see Barsky, 1987; Mishkin, 1981; Summers, 1983; Huizinga and Mishkin, 1984; and Huizinga and Mishkin, 1986). A few years later, Mishkin (1992) demonstrated the existence of a long-run Fisher effect in which inflation and interest rates present a common stochastic trend when both variables exhibit trends, that is, when they are cointegrated. As a result, only if inflation and interest rates exhibit trends, then these two variables trend with a positive relationship and we observe a strong Fisher effect in the data. Lee (1992) developed a multivariate vector-autoregression (VAR) model to show that interest rates explain a substantial fraction of the variation in inflation, while inflation does not explain the variation in real activity. In summary, the Fisher effect is stated as the positive long-run relationship between inflation and interest rates.</w:t>
      </w:r>
    </w:p>
    <w:p>
      <w:pPr>
        <w:pStyle w:val="26"/>
        <w:spacing w:before="240" w:after="120" w:line="276" w:lineRule="auto"/>
        <w:ind w:left="0"/>
        <w:jc w:val="both"/>
        <w:rPr>
          <w:rFonts w:ascii="Times New Roman" w:hAnsi="Times New Roman" w:eastAsia="Times New Roman" w:cs="Times New Roman"/>
          <w:sz w:val="21"/>
          <w:szCs w:val="21"/>
          <w:u w:val="none"/>
        </w:rPr>
      </w:pPr>
      <w:r>
        <w:rPr>
          <w:rFonts w:ascii="Times New Roman" w:hAnsi="Times New Roman" w:eastAsia="Times New Roman" w:cs="Times New Roman"/>
          <w:b/>
          <w:bCs/>
          <w:i/>
          <w:sz w:val="21"/>
          <w:szCs w:val="21"/>
          <w:u w:val="none"/>
        </w:rPr>
        <w:t>Positive relationship between the real interest rate and the real exchange rate</w:t>
      </w:r>
      <w:r>
        <w:rPr>
          <w:rFonts w:ascii="Times New Roman" w:hAnsi="Times New Roman" w:eastAsia="Times New Roman" w:cs="Times New Roman"/>
          <w:i/>
          <w:sz w:val="21"/>
          <w:szCs w:val="21"/>
          <w:u w:val="none"/>
        </w:rPr>
        <w:t>.</w:t>
      </w:r>
      <w:r>
        <w:rPr>
          <w:rFonts w:ascii="Times New Roman" w:hAnsi="Times New Roman" w:eastAsia="Times New Roman" w:cs="Times New Roman"/>
          <w:sz w:val="21"/>
          <w:szCs w:val="21"/>
          <w:u w:val="none"/>
        </w:rPr>
        <w:t xml:space="preserve"> The exchange rate is part of the transmission mechanism in monetary policy because net exports and, therefore, GDP depend on it. The exchange rate enters as part of a no-arbitrage condition that relates the interest rate in one country to the interest rates in other countries through the expectation about the exchange rate in the future. The exchange rate has an effect on the flow of imports and export and the relationship between the real interest rate and the real exchange rate is positive (see Mendoza, 1995; Kamin and Rogers, 2000). </w:t>
      </w:r>
    </w:p>
    <w:p>
      <w:pPr>
        <w:pStyle w:val="26"/>
        <w:spacing w:before="240" w:after="120" w:line="276" w:lineRule="auto"/>
        <w:ind w:left="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Taylor (2001) develops the theory behind this positive relationship. He shows that there is an indirect effect between these two variables even if the central bank follows a policy rule that does not include a direct exchange rate effect. This indirect effect is caused by inertia and rational expectations and provides lower and more effective fluctuations on the interest rate. </w:t>
      </w:r>
    </w:p>
    <w:p>
      <w:pPr>
        <w:pStyle w:val="26"/>
        <w:tabs>
          <w:tab w:val="left" w:pos="6699"/>
        </w:tabs>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In summary, a </w:t>
      </w:r>
      <w:r>
        <w:rPr>
          <w:rFonts w:ascii="Times New Roman" w:hAnsi="Times New Roman" w:eastAsia="Times New Roman" w:cs="Times New Roman"/>
          <w:sz w:val="21"/>
          <w:szCs w:val="21"/>
          <w:u w:val="none"/>
        </w:rPr>
        <w:t>positive performance of the economy in terms of a high output or high real GDP</w:t>
      </w:r>
      <w:r>
        <w:rPr>
          <w:rFonts w:ascii="Times New Roman" w:hAnsi="Times New Roman" w:eastAsia="Times New Roman" w:cs="Times New Roman"/>
          <w:sz w:val="21"/>
          <w:szCs w:val="21"/>
          <w:u w:val="none"/>
        </w:rPr>
        <w:t xml:space="preserve"> translates into an </w:t>
      </w:r>
      <w:r>
        <w:rPr>
          <w:rFonts w:ascii="Times New Roman" w:hAnsi="Times New Roman" w:eastAsia="Times New Roman" w:cs="Times New Roman"/>
          <w:sz w:val="21"/>
          <w:szCs w:val="21"/>
          <w:u w:val="none"/>
        </w:rPr>
        <w:t>increase in the inflation rate</w:t>
      </w:r>
      <w:r>
        <w:rPr>
          <w:rFonts w:ascii="Times New Roman" w:hAnsi="Times New Roman" w:eastAsia="Times New Roman" w:cs="Times New Roman"/>
          <w:sz w:val="21"/>
          <w:szCs w:val="21"/>
          <w:u w:val="none"/>
        </w:rPr>
        <w:t xml:space="preserve"> because economic expansion increases demand, while supply is usually not perfectly elastic. Therefore, prices increase in response to this demand increase and supply cannot grow at the same rate than demand. Moreover, the central bank reacts to this raise in inflation by </w:t>
      </w:r>
      <w:r>
        <w:rPr>
          <w:rFonts w:ascii="Times New Roman" w:hAnsi="Times New Roman" w:eastAsia="Times New Roman" w:cs="Times New Roman"/>
          <w:sz w:val="21"/>
          <w:szCs w:val="21"/>
          <w:u w:val="none"/>
        </w:rPr>
        <w:t>increasing interest rates</w:t>
      </w:r>
      <w:r>
        <w:rPr>
          <w:rFonts w:ascii="Times New Roman" w:hAnsi="Times New Roman" w:eastAsia="Times New Roman" w:cs="Times New Roman"/>
          <w:sz w:val="21"/>
          <w:szCs w:val="21"/>
          <w:u w:val="none"/>
        </w:rPr>
        <w:t xml:space="preserve">. If the monetary policy of the central bank is successful, it will decrease inflation at the expense of a decrease in the output or real GDP. Moreover, </w:t>
      </w:r>
      <w:r>
        <w:rPr>
          <w:rFonts w:ascii="Times New Roman" w:hAnsi="Times New Roman" w:eastAsia="Times New Roman" w:cs="Times New Roman"/>
          <w:sz w:val="21"/>
          <w:szCs w:val="21"/>
          <w:u w:val="none"/>
        </w:rPr>
        <w:t>higher interest rates increase the exchange rate</w:t>
      </w:r>
      <w:r>
        <w:rPr>
          <w:rFonts w:ascii="Times New Roman" w:hAnsi="Times New Roman" w:eastAsia="Times New Roman" w:cs="Times New Roman"/>
          <w:sz w:val="21"/>
          <w:szCs w:val="21"/>
          <w:u w:val="none"/>
        </w:rPr>
        <w:t xml:space="preserve"> and, as a result, net exports weaken. In the rest of the paper, we study how a positive shock in the real GDP that leads to an increase in inflation and interest rates affects the valuation of highway infrastructure assets.</w:t>
      </w:r>
    </w:p>
    <w:p>
      <w:pPr>
        <w:pStyle w:val="26"/>
        <w:tabs>
          <w:tab w:val="left" w:pos="6699"/>
        </w:tabs>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cs="Times New Roman"/>
          <w:b/>
          <w:sz w:val="21"/>
          <w:szCs w:val="21"/>
          <w:u w:val="none"/>
        </w:rPr>
        <w:t>3. Empirical analysis of the effect of inflation and interest rates on traffic: the 407 ETR case</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We first study the joint effect of inflation, nominal and real interest rates on traffic and tariff growth for a category 5 type of infrastructure asset: the highway 407 Express Toll Route (407 ETR) in Ontario, Canada. Highway 407 goes from Burlington to Oshawa through the Greater Toronto Area suburbs of Oakville, Mississauga, Brampton, Vaughan, Markham, Pickering and Whitby. The segment between Burlington and Pickering (107.9 km or 67.0 mi) is leased to and operated by a private concession company and it is known as the 407 ETR. </w:t>
      </w:r>
    </w:p>
    <w:tbl>
      <w:tblPr>
        <w:tblStyle w:val="12"/>
        <w:tblW w:w="8767" w:type="dxa"/>
        <w:jc w:val="center"/>
        <w:tblInd w:w="0" w:type="dxa"/>
        <w:tblLayout w:type="fixed"/>
        <w:tblCellMar>
          <w:top w:w="0" w:type="dxa"/>
          <w:left w:w="70" w:type="dxa"/>
          <w:bottom w:w="0" w:type="dxa"/>
          <w:right w:w="70" w:type="dxa"/>
        </w:tblCellMar>
      </w:tblPr>
      <w:tblGrid>
        <w:gridCol w:w="1433"/>
        <w:gridCol w:w="2224"/>
        <w:gridCol w:w="611"/>
        <w:gridCol w:w="1153"/>
        <w:gridCol w:w="1040"/>
        <w:gridCol w:w="1153"/>
        <w:gridCol w:w="1153"/>
      </w:tblGrid>
      <w:tr>
        <w:tblPrEx>
          <w:tblLayout w:type="fixed"/>
          <w:tblCellMar>
            <w:top w:w="0" w:type="dxa"/>
            <w:left w:w="70" w:type="dxa"/>
            <w:bottom w:w="0" w:type="dxa"/>
            <w:right w:w="70" w:type="dxa"/>
          </w:tblCellMar>
        </w:tblPrEx>
        <w:trPr>
          <w:trHeight w:val="300" w:hRule="atLeast"/>
          <w:jc w:val="center"/>
        </w:trPr>
        <w:tc>
          <w:tcPr>
            <w:tcW w:w="1433" w:type="dxa"/>
            <w:tcBorders>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Variable</w:t>
            </w:r>
          </w:p>
        </w:tc>
        <w:tc>
          <w:tcPr>
            <w:tcW w:w="2224" w:type="dxa"/>
            <w:tcBorders>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Definition</w:t>
            </w:r>
          </w:p>
        </w:tc>
        <w:tc>
          <w:tcPr>
            <w:tcW w:w="611" w:type="dxa"/>
            <w:tcBorders>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Obs.</w:t>
            </w:r>
          </w:p>
        </w:tc>
        <w:tc>
          <w:tcPr>
            <w:tcW w:w="1153" w:type="dxa"/>
            <w:tcBorders>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Mean</w:t>
            </w:r>
          </w:p>
        </w:tc>
        <w:tc>
          <w:tcPr>
            <w:tcW w:w="1040" w:type="dxa"/>
            <w:tcBorders>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Std. Dev.</w:t>
            </w:r>
          </w:p>
        </w:tc>
        <w:tc>
          <w:tcPr>
            <w:tcW w:w="1153" w:type="dxa"/>
            <w:tcBorders>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Min.</w:t>
            </w:r>
          </w:p>
        </w:tc>
        <w:tc>
          <w:tcPr>
            <w:tcW w:w="1153" w:type="dxa"/>
            <w:tcBorders>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Max.</w:t>
            </w:r>
          </w:p>
        </w:tc>
      </w:tr>
      <w:tr>
        <w:tblPrEx>
          <w:tblLayout w:type="fixed"/>
          <w:tblCellMar>
            <w:top w:w="0" w:type="dxa"/>
            <w:left w:w="70" w:type="dxa"/>
            <w:bottom w:w="0" w:type="dxa"/>
            <w:right w:w="70" w:type="dxa"/>
          </w:tblCellMar>
        </w:tblPrEx>
        <w:trPr>
          <w:trHeight w:val="300" w:hRule="atLeast"/>
          <w:jc w:val="center"/>
        </w:trPr>
        <w:tc>
          <w:tcPr>
            <w:tcW w:w="1433" w:type="dxa"/>
            <w:tcBorders>
              <w:top w:val="single" w:color="auto" w:sz="4" w:space="0"/>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Revenue</w:t>
            </w:r>
          </w:p>
        </w:tc>
        <w:tc>
          <w:tcPr>
            <w:tcW w:w="2224" w:type="dxa"/>
            <w:tcBorders>
              <w:top w:val="single" w:color="auto" w:sz="4" w:space="0"/>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Total monthly revenue</w:t>
            </w:r>
          </w:p>
        </w:tc>
        <w:tc>
          <w:tcPr>
            <w:tcW w:w="611" w:type="dxa"/>
            <w:tcBorders>
              <w:top w:val="single" w:color="auto" w:sz="4" w:space="0"/>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single" w:color="auto" w:sz="4" w:space="0"/>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54,200,000</w:t>
            </w:r>
          </w:p>
        </w:tc>
        <w:tc>
          <w:tcPr>
            <w:tcW w:w="1040" w:type="dxa"/>
            <w:tcBorders>
              <w:top w:val="single" w:color="auto" w:sz="4" w:space="0"/>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20,100,000</w:t>
            </w:r>
          </w:p>
        </w:tc>
        <w:tc>
          <w:tcPr>
            <w:tcW w:w="1153" w:type="dxa"/>
            <w:tcBorders>
              <w:top w:val="single" w:color="auto" w:sz="4" w:space="0"/>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24,200,000</w:t>
            </w:r>
          </w:p>
        </w:tc>
        <w:tc>
          <w:tcPr>
            <w:tcW w:w="1153" w:type="dxa"/>
            <w:tcBorders>
              <w:top w:val="single" w:color="auto" w:sz="4" w:space="0"/>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110,000,000</w:t>
            </w:r>
          </w:p>
        </w:tc>
      </w:tr>
      <w:tr>
        <w:tblPrEx>
          <w:tblLayout w:type="fixed"/>
          <w:tblCellMar>
            <w:top w:w="0" w:type="dxa"/>
            <w:left w:w="70" w:type="dxa"/>
            <w:bottom w:w="0" w:type="dxa"/>
            <w:right w:w="70" w:type="dxa"/>
          </w:tblCellMar>
        </w:tblPrEx>
        <w:trPr>
          <w:trHeight w:val="36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g</w:t>
            </w:r>
            <w:r>
              <w:rPr>
                <w:rFonts w:ascii="Times New Roman" w:hAnsi="Times New Roman" w:eastAsia="Times New Roman" w:cs="Times New Roman"/>
                <w:color w:val="000000" w:themeColor="text1"/>
                <w:sz w:val="18"/>
                <w:szCs w:val="18"/>
                <w:u w:val="none"/>
                <w:vertAlign w:val="subscript"/>
                <w:lang w:eastAsia="es-ES"/>
                <w14:textFill>
                  <w14:solidFill>
                    <w14:schemeClr w14:val="tx1"/>
                  </w14:solidFill>
                </w14:textFill>
              </w:rPr>
              <w:t>revenue</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Growth in monthly revenue</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167</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0.0102</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0.0684</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-0.1776</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0.1712</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TR</w:t>
            </w:r>
            <w:r>
              <w:rPr>
                <w:rFonts w:ascii="Times New Roman" w:hAnsi="Times New Roman" w:eastAsia="Times New Roman" w:cs="Times New Roman"/>
                <w:color w:val="000000" w:themeColor="text1"/>
                <w:sz w:val="18"/>
                <w:szCs w:val="18"/>
                <w:u w:val="none"/>
                <w:vertAlign w:val="subscript"/>
                <w:lang w:eastAsia="es-ES"/>
                <w14:textFill>
                  <w14:solidFill>
                    <w14:schemeClr w14:val="tx1"/>
                  </w14:solidFill>
                </w14:textFill>
              </w:rPr>
              <w:t>exc_TTC_VTC</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Total monthly revenue excluding TTC and VTC</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41,200,000</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15,500,000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15,900,000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83,900,000</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TTC_VTC</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Monthly revenue from TTC and VTC</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7,898,922</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3,739,996</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3,639,591</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17,500,000</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fees</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Monthly revenue from fees</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5,048,594</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1,217,743</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3,456,181</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11,600,000</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avg_toll</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Average toll price</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0.21</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0.0600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0.12</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0.34</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avg_trip_length</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Average trip length</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20.16</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0.8600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18.08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22.61</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trips</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Number of trips</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9,311,412</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1,008,908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6,698,980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11,700,000</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VKT</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vehicles-km</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188,000,000</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27,100,000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121,000,000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260,000,000</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inflation</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Inflation from Canadian CPI (%)</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156</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0.14</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0.3801</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-1.04</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1.15</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GDP</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Canadian GDP</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157</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1,487,990</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102,552</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1,298,317</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1,663,948</w:t>
            </w:r>
          </w:p>
        </w:tc>
      </w:tr>
      <w:tr>
        <w:tblPrEx>
          <w:tblLayout w:type="fixed"/>
          <w:tblCellMar>
            <w:top w:w="0" w:type="dxa"/>
            <w:left w:w="70" w:type="dxa"/>
            <w:bottom w:w="0" w:type="dxa"/>
            <w:right w:w="70" w:type="dxa"/>
          </w:tblCellMar>
        </w:tblPrEx>
        <w:trPr>
          <w:trHeight w:val="36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g</w:t>
            </w:r>
            <w:r>
              <w:rPr>
                <w:rFonts w:ascii="Times New Roman" w:hAnsi="Times New Roman" w:eastAsia="Times New Roman" w:cs="Times New Roman"/>
                <w:color w:val="000000" w:themeColor="text1"/>
                <w:sz w:val="18"/>
                <w:szCs w:val="18"/>
                <w:u w:val="none"/>
                <w:vertAlign w:val="subscript"/>
                <w:lang w:eastAsia="es-ES"/>
                <w14:textFill>
                  <w14:solidFill>
                    <w14:schemeClr w14:val="tx1"/>
                  </w14:solidFill>
                </w14:textFill>
              </w:rPr>
              <w:t>GDP</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Growth in Canadian GDP</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156</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0.0016</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0.0035</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-0.0138</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0.0122</w:t>
            </w:r>
          </w:p>
        </w:tc>
      </w:tr>
      <w:tr>
        <w:tblPrEx>
          <w:tblLayout w:type="fixed"/>
          <w:tblCellMar>
            <w:top w:w="0" w:type="dxa"/>
            <w:left w:w="70" w:type="dxa"/>
            <w:bottom w:w="0" w:type="dxa"/>
            <w:right w:w="70" w:type="dxa"/>
          </w:tblCellMar>
        </w:tblPrEx>
        <w:trPr>
          <w:trHeight w:val="36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r</w:t>
            </w:r>
            <w:r>
              <w:rPr>
                <w:rFonts w:ascii="Times New Roman" w:hAnsi="Times New Roman" w:eastAsia="Times New Roman" w:cs="Times New Roman"/>
                <w:color w:val="000000" w:themeColor="text1"/>
                <w:sz w:val="18"/>
                <w:szCs w:val="18"/>
                <w:u w:val="none"/>
                <w:vertAlign w:val="subscript"/>
                <w:lang w:eastAsia="es-ES"/>
                <w14:textFill>
                  <w14:solidFill>
                    <w14:schemeClr w14:val="tx1"/>
                  </w14:solidFill>
                </w14:textFill>
              </w:rPr>
              <w:t>nominal</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Nominal Canadian interest rate (%)</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157</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3.29</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1.09</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1.32</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5.13</w:t>
            </w:r>
          </w:p>
        </w:tc>
      </w:tr>
      <w:tr>
        <w:tblPrEx>
          <w:tblLayout w:type="fixed"/>
          <w:tblCellMar>
            <w:top w:w="0" w:type="dxa"/>
            <w:left w:w="70" w:type="dxa"/>
            <w:bottom w:w="0" w:type="dxa"/>
            <w:right w:w="70" w:type="dxa"/>
          </w:tblCellMar>
        </w:tblPrEx>
        <w:trPr>
          <w:trHeight w:val="36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r</w:t>
            </w:r>
            <w:r>
              <w:rPr>
                <w:rFonts w:ascii="Times New Roman" w:hAnsi="Times New Roman" w:eastAsia="Times New Roman" w:cs="Times New Roman"/>
                <w:color w:val="000000" w:themeColor="text1"/>
                <w:sz w:val="18"/>
                <w:szCs w:val="18"/>
                <w:u w:val="none"/>
                <w:vertAlign w:val="subscript"/>
                <w:lang w:eastAsia="es-ES"/>
                <w14:textFill>
                  <w14:solidFill>
                    <w14:schemeClr w14:val="tx1"/>
                  </w14:solidFill>
                </w14:textFill>
              </w:rPr>
              <w:t>real</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Real Canadian interest rate (%)</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157</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3.04</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1.14</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0.95</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4.90</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usd_cad</w:t>
            </w:r>
          </w:p>
        </w:tc>
        <w:tc>
          <w:tcPr>
            <w:tcW w:w="2224" w:type="dxa"/>
            <w:tcBorders>
              <w:top w:val="nil"/>
              <w:left w:val="nil"/>
              <w:bottom w:val="nil"/>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USD/CAD exchange rate</w:t>
            </w:r>
          </w:p>
        </w:tc>
        <w:tc>
          <w:tcPr>
            <w:tcW w:w="611"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106</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1.08</w:t>
            </w:r>
          </w:p>
        </w:tc>
        <w:tc>
          <w:tcPr>
            <w:tcW w:w="1040"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0.10</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0.96</w:t>
            </w:r>
          </w:p>
        </w:tc>
        <w:tc>
          <w:tcPr>
            <w:tcW w:w="1153" w:type="dxa"/>
            <w:tcBorders>
              <w:top w:val="nil"/>
              <w:left w:val="nil"/>
              <w:bottom w:val="nil"/>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1.37</w:t>
            </w:r>
          </w:p>
        </w:tc>
      </w:tr>
      <w:tr>
        <w:tblPrEx>
          <w:tblLayout w:type="fixed"/>
          <w:tblCellMar>
            <w:top w:w="0" w:type="dxa"/>
            <w:left w:w="70" w:type="dxa"/>
            <w:bottom w:w="0" w:type="dxa"/>
            <w:right w:w="70" w:type="dxa"/>
          </w:tblCellMar>
        </w:tblPrEx>
        <w:trPr>
          <w:trHeight w:val="300" w:hRule="atLeast"/>
          <w:jc w:val="center"/>
        </w:trPr>
        <w:tc>
          <w:tcPr>
            <w:tcW w:w="1433" w:type="dxa"/>
            <w:tcBorders>
              <w:top w:val="nil"/>
              <w:left w:val="nil"/>
              <w:bottom w:val="single" w:color="auto" w:sz="4" w:space="0"/>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eur_cad</w:t>
            </w:r>
          </w:p>
        </w:tc>
        <w:tc>
          <w:tcPr>
            <w:tcW w:w="2224" w:type="dxa"/>
            <w:tcBorders>
              <w:top w:val="nil"/>
              <w:left w:val="nil"/>
              <w:bottom w:val="single" w:color="auto" w:sz="4" w:space="0"/>
              <w:right w:val="nil"/>
            </w:tcBorders>
            <w:shd w:val="clear" w:color="auto" w:fill="auto"/>
          </w:tcPr>
          <w:p>
            <w:pPr>
              <w:spacing w:line="276" w:lineRule="auto"/>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EUR/CAD exchange rate</w:t>
            </w:r>
          </w:p>
        </w:tc>
        <w:tc>
          <w:tcPr>
            <w:tcW w:w="611" w:type="dxa"/>
            <w:tcBorders>
              <w:top w:val="nil"/>
              <w:left w:val="nil"/>
              <w:bottom w:val="single" w:color="auto" w:sz="4" w:space="0"/>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106</w:t>
            </w:r>
          </w:p>
        </w:tc>
        <w:tc>
          <w:tcPr>
            <w:tcW w:w="1153" w:type="dxa"/>
            <w:tcBorders>
              <w:top w:val="nil"/>
              <w:left w:val="nil"/>
              <w:bottom w:val="single" w:color="auto" w:sz="4" w:space="0"/>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1.43</w:t>
            </w:r>
          </w:p>
        </w:tc>
        <w:tc>
          <w:tcPr>
            <w:tcW w:w="1040" w:type="dxa"/>
            <w:tcBorders>
              <w:top w:val="nil"/>
              <w:left w:val="nil"/>
              <w:bottom w:val="single" w:color="auto" w:sz="4" w:space="0"/>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0.10</w:t>
            </w:r>
          </w:p>
        </w:tc>
        <w:tc>
          <w:tcPr>
            <w:tcW w:w="1153" w:type="dxa"/>
            <w:tcBorders>
              <w:top w:val="nil"/>
              <w:left w:val="nil"/>
              <w:bottom w:val="single" w:color="auto" w:sz="4" w:space="0"/>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1.23</w:t>
            </w:r>
          </w:p>
        </w:tc>
        <w:tc>
          <w:tcPr>
            <w:tcW w:w="1153" w:type="dxa"/>
            <w:tcBorders>
              <w:top w:val="nil"/>
              <w:left w:val="nil"/>
              <w:bottom w:val="single" w:color="auto" w:sz="4" w:space="0"/>
              <w:right w:val="nil"/>
            </w:tcBorders>
            <w:shd w:val="clear" w:color="auto" w:fill="auto"/>
          </w:tcPr>
          <w:p>
            <w:pPr>
              <w:spacing w:line="276" w:lineRule="auto"/>
              <w:jc w:val="center"/>
              <w:rPr>
                <w:rFonts w:ascii="Times New Roman" w:hAnsi="Times New Roman" w:eastAsia="Times New Roman" w:cs="Times New Roman"/>
                <w:color w:val="000000" w:themeColor="text1"/>
                <w:sz w:val="18"/>
                <w:szCs w:val="18"/>
                <w:u w:val="none"/>
                <w:lang w:eastAsia="es-ES"/>
                <w14:textFill>
                  <w14:solidFill>
                    <w14:schemeClr w14:val="tx1"/>
                  </w14:solidFill>
                </w14:textFill>
              </w:rPr>
            </w:pPr>
            <w:r>
              <w:rPr>
                <w:rFonts w:ascii="Times New Roman" w:hAnsi="Times New Roman" w:eastAsia="Times New Roman" w:cs="Times New Roman"/>
                <w:color w:val="000000" w:themeColor="text1"/>
                <w:sz w:val="18"/>
                <w:szCs w:val="18"/>
                <w:u w:val="none"/>
                <w:lang w:eastAsia="es-ES"/>
                <w14:textFill>
                  <w14:solidFill>
                    <w14:schemeClr w14:val="tx1"/>
                  </w14:solidFill>
                </w14:textFill>
              </w:rPr>
              <w:t>1.66</w:t>
            </w:r>
          </w:p>
        </w:tc>
      </w:tr>
    </w:tbl>
    <w:p>
      <w:pPr>
        <w:spacing w:before="120" w:after="0" w:line="276" w:lineRule="auto"/>
        <w:jc w:val="center"/>
        <w:rPr>
          <w:rFonts w:ascii="Times New Roman" w:hAnsi="Times New Roman" w:eastAsia="Times New Roman" w:cs="Times New Roman"/>
          <w:szCs w:val="21"/>
          <w:u w:val="none"/>
        </w:rPr>
      </w:pPr>
      <w:r>
        <w:rPr>
          <w:rFonts w:ascii="Times New Roman" w:hAnsi="Times New Roman" w:eastAsia="Times New Roman" w:cs="Times New Roman"/>
          <w:b/>
          <w:sz w:val="20"/>
          <w:szCs w:val="20"/>
          <w:u w:val="none"/>
        </w:rPr>
        <w:t>Table 1.</w:t>
      </w:r>
      <w:r>
        <w:rPr>
          <w:rFonts w:ascii="Times New Roman" w:hAnsi="Times New Roman" w:eastAsia="Times New Roman" w:cs="Times New Roman"/>
          <w:sz w:val="20"/>
          <w:szCs w:val="20"/>
          <w:u w:val="none"/>
        </w:rPr>
        <w:t xml:space="preserve"> Summary statistics. </w:t>
      </w:r>
      <w:r>
        <w:rPr>
          <w:rFonts w:ascii="Times New Roman" w:hAnsi="Times New Roman" w:eastAsia="Times New Roman" w:cs="Times New Roman"/>
          <w:szCs w:val="21"/>
          <w:u w:val="none"/>
        </w:rPr>
        <w:t>This table exhibits the summary statistics of the main variables that we use in our empirical analyses. The data period is March 2003- December 2016</w:t>
      </w:r>
    </w:p>
    <w:p>
      <w:pPr>
        <w:pStyle w:val="26"/>
        <w:spacing w:before="240" w:after="120" w:line="276" w:lineRule="auto"/>
        <w:ind w:left="0"/>
        <w:contextualSpacing w:val="0"/>
        <w:jc w:val="both"/>
        <w:rPr>
          <w:rFonts w:ascii="Times New Roman" w:hAnsi="Times New Roman" w:eastAsia="Times New Roman" w:cs="Times New Roman"/>
          <w:szCs w:val="21"/>
          <w:u w:val="none"/>
        </w:rPr>
      </w:pPr>
      <w:r>
        <w:rPr>
          <w:rFonts w:ascii="Times New Roman" w:hAnsi="Times New Roman" w:eastAsia="Times New Roman" w:cs="Times New Roman"/>
          <w:sz w:val="21"/>
          <w:szCs w:val="21"/>
          <w:u w:val="none"/>
        </w:rPr>
        <w:t>We</w:t>
      </w:r>
      <w:r>
        <w:rPr>
          <w:rFonts w:ascii="Times New Roman" w:hAnsi="Times New Roman" w:eastAsia="Times New Roman" w:cs="Times New Roman"/>
          <w:szCs w:val="21"/>
          <w:u w:val="none"/>
        </w:rPr>
        <w:t xml:space="preserve"> use proprietary data on revenues, tolls and characteristics of the trips for the highway 407 ETR from March 2003 to December 2016. The macroeconomic data that we need for our analyses has been collected from the Bank of Canada and the Statistics Canada website. We employ data on Canadian inflation and Canadian GDP. Regarding the real interest rates, we use the “average yield (5 to 10 years) marketable bonds” from the Bank of Canada website. Finally, we use the exchange rates between the Canadian dollar and two currencies (the US dollar and the Euro) from the Bank of Canada. Monthly exchange rate data is only available from March 2007. Table 1 reports the summary statistics of the main variables that we use in our analysis. </w:t>
      </w:r>
    </w:p>
    <w:p>
      <w:pPr>
        <w:spacing w:before="240" w:after="120" w:line="276" w:lineRule="auto"/>
        <w:rPr>
          <w:rFonts w:ascii="Times New Roman" w:hAnsi="Times New Roman" w:eastAsia="Times New Roman" w:cs="Times New Roman"/>
          <w:szCs w:val="21"/>
          <w:u w:val="none"/>
        </w:rPr>
      </w:pPr>
      <w:r>
        <w:rPr>
          <w:rFonts w:ascii="Times New Roman" w:hAnsi="Times New Roman" w:eastAsia="Times New Roman" w:cs="Times New Roman"/>
          <w:szCs w:val="21"/>
          <w:u w:val="none"/>
        </w:rPr>
        <w:t>Standard OLS regressions do not account for possible endogeneity problems and the reverse causality of the explanatory variables. For example, revenues from the infrastructure, inflation, GDP, and interest rates might be endogenously determined since they all depend on future expectations about economic activity. To address these issues, we base our main empirical methodology in a vector autoregression (VAR) model. This model allows us to estimate the joint dynamics of revenues from the infrastructure, inflation, GDP, real and nominal interest rates, and exchange rates as in Holtz-Eakin, Newey, and Rosen (1988) and Pesaran and Smith (1995). For a given set of variables, our VAR specification is given by:</w:t>
      </w:r>
    </w:p>
    <w:p>
      <w:pPr>
        <w:spacing w:before="240" w:after="120" w:line="276" w:lineRule="auto"/>
        <w:jc w:val="left"/>
        <w:rPr>
          <w:rFonts w:ascii="Times New Roman" w:hAnsi="Times New Roman" w:eastAsia="Times New Roman," w:cs="Times New Roman"/>
          <w:szCs w:val="21"/>
          <w:u w:val="none"/>
        </w:rPr>
      </w:pPr>
      <m:oMath>
        <m:sSub>
          <m:sSubPr>
            <m:ctrlPr>
              <w:rPr>
                <w:rFonts w:ascii="Cambria Math" w:hAnsi="Cambria Math" w:cs="Times New Roman"/>
                <w:i/>
                <w:szCs w:val="21"/>
                <w:u w:val="none"/>
              </w:rPr>
            </m:ctrlPr>
          </m:sSubPr>
          <m:e>
            <m:r>
              <w:rPr>
                <w:rFonts w:ascii="Cambria Math" w:hAnsi="Cambria Math" w:cs="Times New Roman"/>
                <w:szCs w:val="21"/>
                <w:u w:val="none"/>
              </w:rPr>
              <m:t>z</m:t>
            </m:r>
            <m:ctrlPr>
              <w:rPr>
                <w:rFonts w:ascii="Cambria Math" w:hAnsi="Cambria Math" w:cs="Times New Roman"/>
                <w:i/>
                <w:szCs w:val="21"/>
                <w:u w:val="none"/>
              </w:rPr>
            </m:ctrlPr>
          </m:e>
          <m:sub>
            <m:r>
              <w:rPr>
                <w:rFonts w:ascii="Cambria Math" w:hAnsi="Cambria Math" w:cs="Times New Roman"/>
                <w:szCs w:val="21"/>
                <w:u w:val="none"/>
              </w:rPr>
              <m:t>t</m:t>
            </m:r>
            <m:ctrlPr>
              <w:rPr>
                <w:rFonts w:ascii="Cambria Math" w:hAnsi="Cambria Math" w:cs="Times New Roman"/>
                <w:i/>
                <w:szCs w:val="21"/>
                <w:u w:val="none"/>
              </w:rPr>
            </m:ctrlPr>
          </m:sub>
        </m:sSub>
        <m:r>
          <w:rPr>
            <w:rFonts w:ascii="Cambria Math" w:hAnsi="Cambria Math" w:cs="Times New Roman"/>
            <w:szCs w:val="21"/>
            <w:u w:val="none"/>
          </w:rPr>
          <m:t>=</m:t>
        </m:r>
        <m:sSub>
          <m:sSubPr>
            <m:ctrlPr>
              <w:rPr>
                <w:rFonts w:ascii="Cambria Math" w:hAnsi="Cambria Math" w:cs="Times New Roman"/>
                <w:i/>
                <w:szCs w:val="21"/>
                <w:u w:val="none"/>
              </w:rPr>
            </m:ctrlPr>
          </m:sSubPr>
          <m:e>
            <m:r>
              <w:rPr>
                <w:rFonts w:ascii="Cambria Math" w:hAnsi="Cambria Math" w:cs="Times New Roman"/>
                <w:szCs w:val="21"/>
                <w:u w:val="none"/>
              </w:rPr>
              <m:t>β</m:t>
            </m:r>
            <m:ctrlPr>
              <w:rPr>
                <w:rFonts w:ascii="Cambria Math" w:hAnsi="Cambria Math" w:cs="Times New Roman"/>
                <w:i/>
                <w:szCs w:val="21"/>
                <w:u w:val="none"/>
              </w:rPr>
            </m:ctrlPr>
          </m:e>
          <m:sub>
            <m:r>
              <w:rPr>
                <w:rFonts w:ascii="Cambria Math" w:hAnsi="Cambria Math" w:cs="Times New Roman"/>
                <w:szCs w:val="21"/>
                <w:u w:val="none"/>
              </w:rPr>
              <m:t>0</m:t>
            </m:r>
            <m:ctrlPr>
              <w:rPr>
                <w:rFonts w:ascii="Cambria Math" w:hAnsi="Cambria Math" w:cs="Times New Roman"/>
                <w:i/>
                <w:szCs w:val="21"/>
                <w:u w:val="none"/>
              </w:rPr>
            </m:ctrlPr>
          </m:sub>
        </m:sSub>
        <m:r>
          <w:rPr>
            <w:rFonts w:ascii="Cambria Math" w:hAnsi="Cambria Math" w:cs="Times New Roman"/>
            <w:szCs w:val="21"/>
            <w:u w:val="none"/>
          </w:rPr>
          <m:t>+</m:t>
        </m:r>
        <m:sSub>
          <m:sSubPr>
            <m:ctrlPr>
              <w:rPr>
                <w:rFonts w:ascii="Cambria Math" w:hAnsi="Cambria Math" w:cs="Times New Roman"/>
                <w:i/>
                <w:szCs w:val="21"/>
                <w:u w:val="none"/>
              </w:rPr>
            </m:ctrlPr>
          </m:sSubPr>
          <m:e>
            <m:r>
              <w:rPr>
                <w:rFonts w:ascii="Cambria Math" w:hAnsi="Cambria Math" w:cs="Times New Roman"/>
                <w:szCs w:val="21"/>
                <w:u w:val="none"/>
              </w:rPr>
              <m:t>β</m:t>
            </m:r>
            <m:ctrlPr>
              <w:rPr>
                <w:rFonts w:ascii="Cambria Math" w:hAnsi="Cambria Math" w:cs="Times New Roman"/>
                <w:i/>
                <w:szCs w:val="21"/>
                <w:u w:val="none"/>
              </w:rPr>
            </m:ctrlPr>
          </m:e>
          <m:sub>
            <m:r>
              <w:rPr>
                <w:rFonts w:ascii="Cambria Math" w:hAnsi="Cambria Math" w:cs="Times New Roman"/>
                <w:szCs w:val="21"/>
                <w:u w:val="none"/>
              </w:rPr>
              <m:t>1</m:t>
            </m:r>
            <m:ctrlPr>
              <w:rPr>
                <w:rFonts w:ascii="Cambria Math" w:hAnsi="Cambria Math" w:cs="Times New Roman"/>
                <w:i/>
                <w:szCs w:val="21"/>
                <w:u w:val="none"/>
              </w:rPr>
            </m:ctrlPr>
          </m:sub>
        </m:sSub>
        <m:sSub>
          <m:sSubPr>
            <m:ctrlPr>
              <w:rPr>
                <w:rFonts w:ascii="Cambria Math" w:hAnsi="Cambria Math" w:cs="Times New Roman"/>
                <w:i/>
                <w:szCs w:val="21"/>
                <w:u w:val="none"/>
              </w:rPr>
            </m:ctrlPr>
          </m:sSubPr>
          <m:e>
            <m:r>
              <w:rPr>
                <w:rFonts w:ascii="Cambria Math" w:hAnsi="Cambria Math" w:cs="Times New Roman"/>
                <w:szCs w:val="21"/>
                <w:u w:val="none"/>
              </w:rPr>
              <m:t>z</m:t>
            </m:r>
            <m:ctrlPr>
              <w:rPr>
                <w:rFonts w:ascii="Cambria Math" w:hAnsi="Cambria Math" w:cs="Times New Roman"/>
                <w:i/>
                <w:szCs w:val="21"/>
                <w:u w:val="none"/>
              </w:rPr>
            </m:ctrlPr>
          </m:e>
          <m:sub>
            <m:r>
              <w:rPr>
                <w:rFonts w:ascii="Cambria Math" w:hAnsi="Cambria Math" w:cs="Times New Roman"/>
                <w:szCs w:val="21"/>
                <w:u w:val="none"/>
              </w:rPr>
              <m:t>t-1</m:t>
            </m:r>
            <m:ctrlPr>
              <w:rPr>
                <w:rFonts w:ascii="Cambria Math" w:hAnsi="Cambria Math" w:cs="Times New Roman"/>
                <w:i/>
                <w:szCs w:val="21"/>
                <w:u w:val="none"/>
              </w:rPr>
            </m:ctrlPr>
          </m:sub>
        </m:sSub>
        <m:r>
          <w:rPr>
            <w:rFonts w:ascii="Cambria Math" w:hAnsi="Cambria Math" w:cs="Times New Roman"/>
            <w:szCs w:val="21"/>
            <w:u w:val="none"/>
          </w:rPr>
          <m:t>+</m:t>
        </m:r>
        <m:sSub>
          <m:sSubPr>
            <m:ctrlPr>
              <w:rPr>
                <w:rFonts w:ascii="Cambria Math" w:hAnsi="Cambria Math" w:cs="Times New Roman"/>
                <w:i/>
                <w:szCs w:val="21"/>
                <w:u w:val="none"/>
              </w:rPr>
            </m:ctrlPr>
          </m:sSubPr>
          <m:e>
            <m:r>
              <w:rPr>
                <w:rFonts w:ascii="Cambria Math" w:hAnsi="Cambria Math" w:cs="Times New Roman"/>
                <w:szCs w:val="21"/>
                <w:u w:val="none"/>
              </w:rPr>
              <m:t>β</m:t>
            </m:r>
            <m:ctrlPr>
              <w:rPr>
                <w:rFonts w:ascii="Cambria Math" w:hAnsi="Cambria Math" w:cs="Times New Roman"/>
                <w:i/>
                <w:szCs w:val="21"/>
                <w:u w:val="none"/>
              </w:rPr>
            </m:ctrlPr>
          </m:e>
          <m:sub>
            <m:r>
              <w:rPr>
                <w:rFonts w:ascii="Cambria Math" w:hAnsi="Cambria Math" w:cs="Times New Roman"/>
                <w:szCs w:val="21"/>
                <w:u w:val="none"/>
              </w:rPr>
              <m:t>2</m:t>
            </m:r>
            <m:ctrlPr>
              <w:rPr>
                <w:rFonts w:ascii="Cambria Math" w:hAnsi="Cambria Math" w:cs="Times New Roman"/>
                <w:i/>
                <w:szCs w:val="21"/>
                <w:u w:val="none"/>
              </w:rPr>
            </m:ctrlPr>
          </m:sub>
        </m:sSub>
        <m:sSub>
          <m:sSubPr>
            <m:ctrlPr>
              <w:rPr>
                <w:rFonts w:ascii="Cambria Math" w:hAnsi="Cambria Math" w:cs="Times New Roman"/>
                <w:i/>
                <w:szCs w:val="21"/>
                <w:u w:val="none"/>
              </w:rPr>
            </m:ctrlPr>
          </m:sSubPr>
          <m:e>
            <m:r>
              <w:rPr>
                <w:rFonts w:ascii="Cambria Math" w:hAnsi="Cambria Math" w:cs="Times New Roman"/>
                <w:szCs w:val="21"/>
                <w:u w:val="none"/>
              </w:rPr>
              <m:t>z</m:t>
            </m:r>
            <m:ctrlPr>
              <w:rPr>
                <w:rFonts w:ascii="Cambria Math" w:hAnsi="Cambria Math" w:cs="Times New Roman"/>
                <w:i/>
                <w:szCs w:val="21"/>
                <w:u w:val="none"/>
              </w:rPr>
            </m:ctrlPr>
          </m:e>
          <m:sub>
            <m:r>
              <w:rPr>
                <w:rFonts w:ascii="Cambria Math" w:hAnsi="Cambria Math" w:cs="Times New Roman"/>
                <w:szCs w:val="21"/>
                <w:u w:val="none"/>
              </w:rPr>
              <m:t>t-2</m:t>
            </m:r>
            <m:ctrlPr>
              <w:rPr>
                <w:rFonts w:ascii="Cambria Math" w:hAnsi="Cambria Math" w:cs="Times New Roman"/>
                <w:i/>
                <w:szCs w:val="21"/>
                <w:u w:val="none"/>
              </w:rPr>
            </m:ctrlPr>
          </m:sub>
        </m:sSub>
        <m:r>
          <w:rPr>
            <w:rFonts w:ascii="Cambria Math" w:hAnsi="Cambria Math" w:cs="Times New Roman"/>
            <w:szCs w:val="21"/>
            <w:u w:val="none"/>
          </w:rPr>
          <m:t>+</m:t>
        </m:r>
        <m:sSub>
          <m:sSubPr>
            <m:ctrlPr>
              <w:rPr>
                <w:rFonts w:ascii="Cambria Math" w:hAnsi="Cambria Math" w:cs="Times New Roman"/>
                <w:i/>
                <w:szCs w:val="21"/>
                <w:u w:val="none"/>
              </w:rPr>
            </m:ctrlPr>
          </m:sSubPr>
          <m:e>
            <m:r>
              <w:rPr>
                <w:rFonts w:ascii="Cambria Math" w:hAnsi="Cambria Math" w:cs="Times New Roman"/>
                <w:szCs w:val="21"/>
                <w:u w:val="none"/>
              </w:rPr>
              <m:t>β</m:t>
            </m:r>
            <m:ctrlPr>
              <w:rPr>
                <w:rFonts w:ascii="Cambria Math" w:hAnsi="Cambria Math" w:cs="Times New Roman"/>
                <w:i/>
                <w:szCs w:val="21"/>
                <w:u w:val="none"/>
              </w:rPr>
            </m:ctrlPr>
          </m:e>
          <m:sub>
            <m:r>
              <w:rPr>
                <w:rFonts w:ascii="Cambria Math" w:hAnsi="Cambria Math" w:cs="Times New Roman"/>
                <w:szCs w:val="21"/>
                <w:u w:val="none"/>
              </w:rPr>
              <m:t>3</m:t>
            </m:r>
            <m:ctrlPr>
              <w:rPr>
                <w:rFonts w:ascii="Cambria Math" w:hAnsi="Cambria Math" w:cs="Times New Roman"/>
                <w:i/>
                <w:szCs w:val="21"/>
                <w:u w:val="none"/>
              </w:rPr>
            </m:ctrlPr>
          </m:sub>
        </m:sSub>
        <m:sSub>
          <m:sSubPr>
            <m:ctrlPr>
              <w:rPr>
                <w:rFonts w:ascii="Cambria Math" w:hAnsi="Cambria Math" w:cs="Times New Roman"/>
                <w:i/>
                <w:szCs w:val="21"/>
                <w:u w:val="none"/>
              </w:rPr>
            </m:ctrlPr>
          </m:sSubPr>
          <m:e>
            <m:r>
              <w:rPr>
                <w:rFonts w:ascii="Cambria Math" w:hAnsi="Cambria Math" w:cs="Times New Roman"/>
                <w:szCs w:val="21"/>
                <w:u w:val="none"/>
              </w:rPr>
              <m:t>z</m:t>
            </m:r>
            <m:ctrlPr>
              <w:rPr>
                <w:rFonts w:ascii="Cambria Math" w:hAnsi="Cambria Math" w:cs="Times New Roman"/>
                <w:i/>
                <w:szCs w:val="21"/>
                <w:u w:val="none"/>
              </w:rPr>
            </m:ctrlPr>
          </m:e>
          <m:sub>
            <m:r>
              <w:rPr>
                <w:rFonts w:ascii="Cambria Math" w:hAnsi="Cambria Math" w:cs="Times New Roman"/>
                <w:szCs w:val="21"/>
                <w:u w:val="none"/>
              </w:rPr>
              <m:t>t-3</m:t>
            </m:r>
            <m:ctrlPr>
              <w:rPr>
                <w:rFonts w:ascii="Cambria Math" w:hAnsi="Cambria Math" w:cs="Times New Roman"/>
                <w:i/>
                <w:szCs w:val="21"/>
                <w:u w:val="none"/>
              </w:rPr>
            </m:ctrlPr>
          </m:sub>
        </m:sSub>
        <m:r>
          <w:rPr>
            <w:rFonts w:ascii="Cambria Math" w:hAnsi="Cambria Math" w:cs="Times New Roman"/>
            <w:szCs w:val="21"/>
            <w:u w:val="none"/>
          </w:rPr>
          <m:t>+</m:t>
        </m:r>
        <m:sSub>
          <m:sSubPr>
            <m:ctrlPr>
              <w:rPr>
                <w:rFonts w:ascii="Cambria Math" w:hAnsi="Cambria Math" w:cs="Times New Roman"/>
                <w:i/>
                <w:szCs w:val="21"/>
                <w:u w:val="none"/>
              </w:rPr>
            </m:ctrlPr>
          </m:sSubPr>
          <m:e>
            <m:r>
              <w:rPr>
                <w:rFonts w:ascii="Cambria Math" w:hAnsi="Cambria Math" w:cs="Times New Roman"/>
                <w:szCs w:val="21"/>
                <w:u w:val="none"/>
              </w:rPr>
              <m:t>θ</m:t>
            </m:r>
            <m:ctrlPr>
              <w:rPr>
                <w:rFonts w:ascii="Cambria Math" w:hAnsi="Cambria Math" w:cs="Times New Roman"/>
                <w:i/>
                <w:szCs w:val="21"/>
                <w:u w:val="none"/>
              </w:rPr>
            </m:ctrlPr>
          </m:e>
          <m:sub>
            <m:r>
              <w:rPr>
                <w:rFonts w:ascii="Cambria Math" w:hAnsi="Cambria Math" w:cs="Times New Roman"/>
                <w:szCs w:val="21"/>
                <w:u w:val="none"/>
              </w:rPr>
              <m:t>t</m:t>
            </m:r>
            <m:ctrlPr>
              <w:rPr>
                <w:rFonts w:ascii="Cambria Math" w:hAnsi="Cambria Math" w:cs="Times New Roman"/>
                <w:i/>
                <w:szCs w:val="21"/>
                <w:u w:val="none"/>
              </w:rPr>
            </m:ctrlPr>
          </m:sub>
        </m:sSub>
        <m:r>
          <w:rPr>
            <w:rFonts w:ascii="Cambria Math" w:hAnsi="Cambria Math" w:cs="Times New Roman"/>
            <w:szCs w:val="21"/>
            <w:u w:val="none"/>
          </w:rPr>
          <m:t>+</m:t>
        </m:r>
        <m:sSub>
          <m:sSubPr>
            <m:ctrlPr>
              <w:rPr>
                <w:rFonts w:ascii="Cambria Math" w:hAnsi="Cambria Math" w:cs="Times New Roman"/>
                <w:i/>
                <w:szCs w:val="21"/>
                <w:u w:val="none"/>
              </w:rPr>
            </m:ctrlPr>
          </m:sSubPr>
          <m:e>
            <m:r>
              <w:rPr>
                <w:rFonts w:ascii="Cambria Math" w:hAnsi="Cambria Math" w:cs="Times New Roman"/>
                <w:szCs w:val="21"/>
                <w:u w:val="none"/>
              </w:rPr>
              <m:t>ε</m:t>
            </m:r>
            <m:ctrlPr>
              <w:rPr>
                <w:rFonts w:ascii="Cambria Math" w:hAnsi="Cambria Math" w:cs="Times New Roman"/>
                <w:i/>
                <w:szCs w:val="21"/>
                <w:u w:val="none"/>
              </w:rPr>
            </m:ctrlPr>
          </m:e>
          <m:sub>
            <m:r>
              <w:rPr>
                <w:rFonts w:ascii="Cambria Math" w:hAnsi="Cambria Math" w:cs="Times New Roman"/>
                <w:szCs w:val="21"/>
                <w:u w:val="none"/>
              </w:rPr>
              <m:t>t</m:t>
            </m:r>
            <m:ctrlPr>
              <w:rPr>
                <w:rFonts w:ascii="Cambria Math" w:hAnsi="Cambria Math" w:cs="Times New Roman"/>
                <w:i/>
                <w:szCs w:val="21"/>
                <w:u w:val="none"/>
              </w:rPr>
            </m:ctrlPr>
          </m:sub>
        </m:sSub>
      </m:oMath>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eastAsia="Times New Roman," w:cs="Times New Roman"/>
          <w:szCs w:val="21"/>
          <w:u w:val="none"/>
        </w:rPr>
        <w:t xml:space="preserve">   </w:t>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 xml:space="preserve">   </w:t>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ab/>
      </w:r>
      <w:r>
        <w:rPr>
          <w:rFonts w:ascii="Times New Roman" w:hAnsi="Times New Roman" w:eastAsia="Times New Roman," w:cs="Times New Roman"/>
          <w:szCs w:val="21"/>
          <w:u w:val="none"/>
        </w:rPr>
        <w:t xml:space="preserve">   (1)</w:t>
      </w:r>
    </w:p>
    <w:p>
      <w:pPr>
        <w:spacing w:before="240" w:after="120" w:line="276" w:lineRule="auto"/>
        <w:rPr>
          <w:rFonts w:ascii="Times New Roman" w:hAnsi="Times New Roman" w:cs="Times New Roman"/>
          <w:szCs w:val="21"/>
          <w:u w:val="none"/>
        </w:rPr>
      </w:pPr>
      <w:r>
        <w:rPr>
          <w:rFonts w:ascii="Times New Roman" w:hAnsi="Times New Roman" w:cs="Times New Roman"/>
          <w:szCs w:val="21"/>
          <w:u w:val="none"/>
        </w:rPr>
        <w:t xml:space="preserve">where </w:t>
      </w:r>
      <w:r>
        <w:rPr>
          <w:rFonts w:ascii="Times New Roman" w:hAnsi="Times New Roman" w:cs="Times New Roman"/>
          <w:i/>
          <w:iCs/>
          <w:szCs w:val="21"/>
          <w:u w:val="none"/>
        </w:rPr>
        <w:t>z</w:t>
      </w:r>
      <w:r>
        <w:rPr>
          <w:rFonts w:ascii="Times New Roman" w:hAnsi="Times New Roman" w:cs="Times New Roman"/>
          <w:i/>
          <w:iCs/>
          <w:szCs w:val="21"/>
          <w:u w:val="none"/>
          <w:vertAlign w:val="subscript"/>
        </w:rPr>
        <w:t>t</w:t>
      </w:r>
      <w:r>
        <w:rPr>
          <w:rFonts w:ascii="Times New Roman" w:hAnsi="Times New Roman" w:cs="Times New Roman"/>
          <w:i/>
          <w:iCs/>
          <w:szCs w:val="21"/>
          <w:u w:val="none"/>
        </w:rPr>
        <w:t xml:space="preserve"> </w:t>
      </w:r>
      <w:r>
        <w:rPr>
          <w:rFonts w:ascii="Times New Roman" w:hAnsi="Times New Roman" w:cs="Times New Roman"/>
          <w:szCs w:val="21"/>
          <w:u w:val="none"/>
        </w:rPr>
        <w:t xml:space="preserve">denotes the vector of endogenously determined variables (e.g., revenues from the infrastructure, inflation, growth in GDP, real and nominal interest rates, exchange rates, etc.) Notice that we will include different sets of variables in different parts of our econometric analysis and that we use 3 lags (i.e., </w:t>
      </w:r>
      <w:r>
        <w:rPr>
          <w:rFonts w:ascii="Times New Roman" w:hAnsi="Times New Roman" w:cs="Times New Roman"/>
          <w:i/>
          <w:iCs/>
          <w:szCs w:val="21"/>
          <w:u w:val="none"/>
        </w:rPr>
        <w:t>z</w:t>
      </w:r>
      <w:r>
        <w:rPr>
          <w:rFonts w:ascii="Times New Roman" w:hAnsi="Times New Roman" w:cs="Times New Roman"/>
          <w:i/>
          <w:iCs/>
          <w:szCs w:val="21"/>
          <w:u w:val="none"/>
          <w:vertAlign w:val="subscript"/>
        </w:rPr>
        <w:t>t-1</w:t>
      </w:r>
      <w:r>
        <w:rPr>
          <w:rFonts w:ascii="Times New Roman" w:hAnsi="Times New Roman" w:cs="Times New Roman"/>
          <w:szCs w:val="21"/>
          <w:u w:val="none"/>
        </w:rPr>
        <w:t xml:space="preserve">, </w:t>
      </w:r>
      <w:r>
        <w:rPr>
          <w:rFonts w:ascii="Times New Roman" w:hAnsi="Times New Roman" w:cs="Times New Roman"/>
          <w:i/>
          <w:iCs/>
          <w:szCs w:val="21"/>
          <w:u w:val="none"/>
        </w:rPr>
        <w:t>z</w:t>
      </w:r>
      <w:r>
        <w:rPr>
          <w:rFonts w:ascii="Times New Roman" w:hAnsi="Times New Roman" w:cs="Times New Roman"/>
          <w:i/>
          <w:iCs/>
          <w:szCs w:val="21"/>
          <w:u w:val="none"/>
          <w:vertAlign w:val="subscript"/>
        </w:rPr>
        <w:t>t-2</w:t>
      </w:r>
      <w:r>
        <w:rPr>
          <w:rFonts w:ascii="Times New Roman" w:hAnsi="Times New Roman" w:cs="Times New Roman"/>
          <w:szCs w:val="21"/>
          <w:u w:val="none"/>
        </w:rPr>
        <w:t xml:space="preserve">, and </w:t>
      </w:r>
      <w:r>
        <w:rPr>
          <w:rFonts w:ascii="Times New Roman" w:hAnsi="Times New Roman" w:cs="Times New Roman"/>
          <w:i/>
          <w:iCs/>
          <w:szCs w:val="21"/>
          <w:u w:val="none"/>
        </w:rPr>
        <w:t>z</w:t>
      </w:r>
      <w:r>
        <w:rPr>
          <w:rFonts w:ascii="Times New Roman" w:hAnsi="Times New Roman" w:cs="Times New Roman"/>
          <w:i/>
          <w:iCs/>
          <w:szCs w:val="21"/>
          <w:u w:val="none"/>
          <w:vertAlign w:val="subscript"/>
        </w:rPr>
        <w:t>t-3</w:t>
      </w:r>
      <w:r>
        <w:rPr>
          <w:rFonts w:ascii="Times New Roman" w:hAnsi="Times New Roman" w:cs="Times New Roman"/>
          <w:szCs w:val="21"/>
          <w:u w:val="none"/>
        </w:rPr>
        <w:t xml:space="preserve">) throughout the analyses. Let </w:t>
      </w:r>
      <w:r>
        <w:rPr>
          <w:rFonts w:ascii="Times New Roman" w:hAnsi="Times New Roman" w:eastAsia="Symbol" w:cs="Times New Roman"/>
          <w:i/>
          <w:iCs/>
          <w:szCs w:val="21"/>
          <w:u w:val="none"/>
        </w:rPr>
        <w:t>θ</w:t>
      </w:r>
      <w:r>
        <w:rPr>
          <w:rFonts w:ascii="Times New Roman" w:hAnsi="Times New Roman" w:cs="Times New Roman"/>
          <w:i/>
          <w:iCs/>
          <w:szCs w:val="21"/>
          <w:u w:val="none"/>
          <w:vertAlign w:val="subscript"/>
        </w:rPr>
        <w:t>t</w:t>
      </w:r>
      <w:r>
        <w:rPr>
          <w:rFonts w:ascii="Times New Roman" w:hAnsi="Times New Roman" w:cs="Times New Roman"/>
          <w:szCs w:val="21"/>
          <w:u w:val="none"/>
        </w:rPr>
        <w:t xml:space="preserve"> and </w:t>
      </w:r>
      <w:r>
        <w:rPr>
          <w:rFonts w:ascii="Century" w:hAnsi="Century" w:eastAsia="Symbol" w:cs="Times New Roman"/>
          <w:i/>
          <w:iCs/>
          <w:szCs w:val="21"/>
          <w:u w:val="none"/>
        </w:rPr>
        <w:t>ε</w:t>
      </w:r>
      <w:r>
        <w:rPr>
          <w:rFonts w:ascii="Times New Roman" w:hAnsi="Times New Roman" w:cs="Times New Roman"/>
          <w:i/>
          <w:iCs/>
          <w:szCs w:val="21"/>
          <w:u w:val="none"/>
          <w:vertAlign w:val="subscript"/>
        </w:rPr>
        <w:t>t</w:t>
      </w:r>
      <w:r>
        <w:rPr>
          <w:rFonts w:ascii="Times New Roman" w:hAnsi="Times New Roman" w:cs="Times New Roman"/>
          <w:szCs w:val="21"/>
          <w:u w:val="none"/>
        </w:rPr>
        <w:t xml:space="preserve"> denote the monthly time-effects and the error term, respectively. </w:t>
      </w:r>
    </w:p>
    <w:tbl>
      <w:tblPr>
        <w:tblStyle w:val="12"/>
        <w:tblW w:w="6672" w:type="dxa"/>
        <w:jc w:val="center"/>
        <w:tblInd w:w="0" w:type="dxa"/>
        <w:tblLayout w:type="fixed"/>
        <w:tblCellMar>
          <w:top w:w="0" w:type="dxa"/>
          <w:left w:w="70" w:type="dxa"/>
          <w:bottom w:w="0" w:type="dxa"/>
          <w:right w:w="70" w:type="dxa"/>
        </w:tblCellMar>
      </w:tblPr>
      <w:tblGrid>
        <w:gridCol w:w="1100"/>
        <w:gridCol w:w="640"/>
        <w:gridCol w:w="793"/>
        <w:gridCol w:w="440"/>
        <w:gridCol w:w="793"/>
        <w:gridCol w:w="440"/>
        <w:gridCol w:w="793"/>
        <w:gridCol w:w="440"/>
        <w:gridCol w:w="793"/>
        <w:gridCol w:w="440"/>
      </w:tblGrid>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VKT</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inflation</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nominal</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real</w:t>
            </w: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VKT</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0.1680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1.3209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0.6734</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0.8005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0.4465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1.2461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-0.0002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0.0457</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0.1695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-0.6952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-0.2093</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0.0226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inflation</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0.0462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0.2000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0.1060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0.1375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0.0506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0.0368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0.0155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0.0045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0.0227</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-0.0730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0.0078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0.0101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nominal</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0.1168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0.7492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0.9516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0.1890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-0.0354</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-0.7392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0.2754</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0.3409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-0.0354</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0.2632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-0.4238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-0.6141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real</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-0.1506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-0.5294</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0.0159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0.7961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0.0795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0.3929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-0.4496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-0.5167</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0.0273</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-0.1082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0.4857</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0.6489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constant</w:t>
            </w:r>
          </w:p>
        </w:tc>
        <w:tc>
          <w:tcPr>
            <w:tcW w:w="6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0.21</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15.92</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76.42</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85.33</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Time FE</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Yes</w:t>
            </w: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Num. Obs.</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116</w:t>
            </w: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45" w:hRule="atLeast"/>
          <w:jc w:val="center"/>
        </w:trPr>
        <w:tc>
          <w:tcPr>
            <w:tcW w:w="110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perscript"/>
                <w:lang w:eastAsia="es-ES"/>
              </w:rPr>
              <w:t>2</w:t>
            </w:r>
          </w:p>
        </w:tc>
        <w:tc>
          <w:tcPr>
            <w:tcW w:w="6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0.3736</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0.2516</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0.9725</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0.9721</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r>
    </w:tbl>
    <w:p>
      <w:pPr>
        <w:spacing w:before="120" w:line="240" w:lineRule="auto"/>
        <w:ind w:right="-284"/>
        <w:jc w:val="center"/>
        <w:rPr>
          <w:rFonts w:ascii="Times New Roman" w:hAnsi="Times New Roman" w:cs="Times New Roman"/>
          <w:sz w:val="20"/>
          <w:szCs w:val="20"/>
          <w:u w:val="none"/>
        </w:rPr>
      </w:pPr>
      <w:r>
        <w:rPr>
          <w:rFonts w:ascii="Times New Roman" w:hAnsi="Times New Roman" w:cs="Times New Roman"/>
          <w:b/>
          <w:sz w:val="20"/>
          <w:szCs w:val="20"/>
          <w:u w:val="none"/>
        </w:rPr>
        <w:t xml:space="preserve">Table 2. </w:t>
      </w:r>
      <w:r>
        <w:rPr>
          <w:rFonts w:ascii="Times New Roman" w:hAnsi="Times New Roman" w:cs="Times New Roman"/>
          <w:sz w:val="20"/>
          <w:szCs w:val="20"/>
          <w:u w:val="none"/>
        </w:rPr>
        <w:t xml:space="preserve">Multivariate VAR analysis with growth in VKT (vehicles kilometer traveled). This table shows the multivariate analysis of growth in traffic, inflation, nominal, and real interest rates. </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and </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indicate statistical significance at the 10%, 5%, and 1% level, respectively</w:t>
      </w:r>
    </w:p>
    <w:p>
      <w:pPr>
        <w:spacing w:before="240" w:after="120" w:line="276" w:lineRule="auto"/>
        <w:rPr>
          <w:rFonts w:ascii="Times New Roman" w:hAnsi="Times New Roman" w:cs="Times New Roman"/>
          <w:szCs w:val="21"/>
          <w:u w:val="none"/>
        </w:rPr>
      </w:pPr>
      <w:r>
        <w:rPr>
          <w:rFonts w:ascii="Times New Roman" w:hAnsi="Times New Roman" w:eastAsia="Times New Roman" w:cs="Times New Roman"/>
          <w:szCs w:val="21"/>
          <w:u w:val="none"/>
        </w:rPr>
        <w:t>We first study the effect of inflation, and real and nominal interest rates on traffic growth in terms of vehicle kilometers traveled (VKT) and growth in tariffs in order to analyze the separate effects on quantities and prices, respectively. To do so, we run two separate multivariate VAR analyses. The first analysis includes the 4 following variables: the VKT growth in highway ETR 407, g</w:t>
      </w:r>
      <w:r>
        <w:rPr>
          <w:rFonts w:ascii="Times New Roman" w:hAnsi="Times New Roman" w:eastAsia="Times New Roman" w:cs="Times New Roman"/>
          <w:szCs w:val="21"/>
          <w:u w:val="none"/>
          <w:vertAlign w:val="subscript"/>
        </w:rPr>
        <w:t>VKT</w:t>
      </w:r>
      <w:r>
        <w:rPr>
          <w:rFonts w:ascii="Times New Roman" w:hAnsi="Times New Roman" w:eastAsia="Times New Roman" w:cs="Times New Roman"/>
          <w:szCs w:val="21"/>
          <w:u w:val="none"/>
        </w:rPr>
        <w:t>; inflation; the nominal interest rate r</w:t>
      </w:r>
      <w:r>
        <w:rPr>
          <w:rFonts w:ascii="Times New Roman" w:hAnsi="Times New Roman" w:eastAsia="Times New Roman" w:cs="Times New Roman"/>
          <w:szCs w:val="21"/>
          <w:u w:val="none"/>
          <w:vertAlign w:val="subscript"/>
        </w:rPr>
        <w:t>NOMINAL</w:t>
      </w:r>
      <w:r>
        <w:rPr>
          <w:rFonts w:ascii="Times New Roman" w:hAnsi="Times New Roman" w:eastAsia="Times New Roman" w:cs="Times New Roman"/>
          <w:szCs w:val="21"/>
          <w:u w:val="none"/>
        </w:rPr>
        <w:t>; and the real interest rate r</w:t>
      </w:r>
      <w:r>
        <w:rPr>
          <w:rFonts w:ascii="Times New Roman" w:hAnsi="Times New Roman" w:eastAsia="Times New Roman" w:cs="Times New Roman"/>
          <w:szCs w:val="21"/>
          <w:u w:val="none"/>
          <w:vertAlign w:val="subscript"/>
        </w:rPr>
        <w:t>REAL</w:t>
      </w:r>
      <w:r>
        <w:rPr>
          <w:rFonts w:ascii="Times New Roman" w:hAnsi="Times New Roman" w:eastAsia="Times New Roman" w:cs="Times New Roman"/>
          <w:szCs w:val="21"/>
          <w:u w:val="none"/>
        </w:rPr>
        <w:t>. Table 2 displays the results of this first analysis.</w:t>
      </w:r>
    </w:p>
    <w:p>
      <w:pPr>
        <w:spacing w:line="240" w:lineRule="auto"/>
        <w:ind w:right="-285"/>
        <w:jc w:val="center"/>
        <w:rPr>
          <w:rFonts w:ascii="Times New Roman" w:hAnsi="Times New Roman" w:cs="Times New Roman"/>
          <w:sz w:val="20"/>
          <w:szCs w:val="20"/>
          <w:u w:val="none"/>
        </w:rPr>
      </w:pPr>
    </w:p>
    <w:tbl>
      <w:tblPr>
        <w:tblStyle w:val="12"/>
        <w:tblW w:w="6660" w:type="dxa"/>
        <w:jc w:val="center"/>
        <w:tblInd w:w="0" w:type="dxa"/>
        <w:tblLayout w:type="fixed"/>
        <w:tblCellMar>
          <w:top w:w="0" w:type="dxa"/>
          <w:left w:w="70" w:type="dxa"/>
          <w:bottom w:w="0" w:type="dxa"/>
          <w:right w:w="70" w:type="dxa"/>
        </w:tblCellMar>
      </w:tblPr>
      <w:tblGrid>
        <w:gridCol w:w="1100"/>
        <w:gridCol w:w="640"/>
        <w:gridCol w:w="793"/>
        <w:gridCol w:w="440"/>
        <w:gridCol w:w="981"/>
        <w:gridCol w:w="240"/>
        <w:gridCol w:w="793"/>
        <w:gridCol w:w="440"/>
        <w:gridCol w:w="793"/>
        <w:gridCol w:w="440"/>
      </w:tblGrid>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Tariff</w:t>
            </w:r>
          </w:p>
        </w:tc>
        <w:tc>
          <w:tcPr>
            <w:tcW w:w="1221"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inflation</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nominal</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real</w:t>
            </w: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Tariff</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0.6817</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-6.7455</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-2.3782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-3.2375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0.3304</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6.3021</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5.2399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5.0861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-0.0471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-0.8311</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-1.6519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-0.0263</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inflation</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0.0013</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0.1909</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0.1235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0.1729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0.0007</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0.1159</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0.0535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0.0461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-0.0008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-0.0247</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0.0086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0.0143</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nominal</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0.0033</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0.6497</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1.0093</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0.2570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0.0018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-0.5102</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0.2871</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0.3325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-0.0060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0.2000</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-0.4524</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-0.6102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bscript"/>
                <w:lang w:eastAsia="es-ES"/>
              </w:rPr>
              <w:t>real</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1</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-0.0035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-0.3537</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-0.0520</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0.7075</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2</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-0.0016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0.0141</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-0.4859</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-0.5136</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lag 3</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0.0058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0.0509</w:t>
            </w:r>
          </w:p>
        </w:tc>
        <w:tc>
          <w:tcPr>
            <w:tcW w:w="2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0.5548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793"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0.6812</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constant</w:t>
            </w:r>
          </w:p>
        </w:tc>
        <w:tc>
          <w:tcPr>
            <w:tcW w:w="6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-0.82</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981"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-33.17</w:t>
            </w:r>
          </w:p>
        </w:tc>
        <w:tc>
          <w:tcPr>
            <w:tcW w:w="2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103.56</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125.57</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Time FE</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Yes</w:t>
            </w: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2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Num. Obs.</w:t>
            </w: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116</w:t>
            </w: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981"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2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793"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45" w:hRule="atLeast"/>
          <w:jc w:val="center"/>
        </w:trPr>
        <w:tc>
          <w:tcPr>
            <w:tcW w:w="110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perscript"/>
                <w:lang w:eastAsia="es-ES"/>
              </w:rPr>
              <w:t>2</w:t>
            </w:r>
          </w:p>
        </w:tc>
        <w:tc>
          <w:tcPr>
            <w:tcW w:w="6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0.9978</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981"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0.1310</w:t>
            </w:r>
          </w:p>
        </w:tc>
        <w:tc>
          <w:tcPr>
            <w:tcW w:w="2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0.9714</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793"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0.9704</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r>
    </w:tbl>
    <w:p>
      <w:pPr>
        <w:spacing w:before="120" w:line="240" w:lineRule="auto"/>
        <w:ind w:right="-142"/>
        <w:jc w:val="center"/>
        <w:rPr>
          <w:rFonts w:ascii="Times New Roman" w:hAnsi="Times New Roman" w:cs="Times New Roman"/>
          <w:sz w:val="20"/>
          <w:szCs w:val="20"/>
          <w:u w:val="none"/>
        </w:rPr>
      </w:pPr>
      <w:r>
        <w:rPr>
          <w:rFonts w:ascii="Times New Roman" w:hAnsi="Times New Roman" w:cs="Times New Roman"/>
          <w:b/>
          <w:sz w:val="20"/>
          <w:szCs w:val="20"/>
          <w:u w:val="none"/>
        </w:rPr>
        <w:t>Table 3.</w:t>
      </w:r>
      <w:r>
        <w:rPr>
          <w:rFonts w:ascii="Times New Roman" w:hAnsi="Times New Roman" w:cs="Times New Roman"/>
          <w:sz w:val="20"/>
          <w:szCs w:val="20"/>
          <w:u w:val="none"/>
        </w:rPr>
        <w:t xml:space="preserve"> Multivariate VAR analysis with growth in the average tariff</w:t>
      </w:r>
      <w:r>
        <w:rPr>
          <w:rFonts w:ascii="Times New Roman" w:hAnsi="Times New Roman" w:cs="Times New Roman"/>
          <w:b/>
          <w:sz w:val="20"/>
          <w:szCs w:val="20"/>
          <w:u w:val="none"/>
        </w:rPr>
        <w:t>.</w:t>
      </w:r>
      <w:r>
        <w:rPr>
          <w:rFonts w:ascii="Times New Roman" w:hAnsi="Times New Roman" w:cs="Times New Roman"/>
          <w:sz w:val="20"/>
          <w:szCs w:val="20"/>
          <w:u w:val="none"/>
        </w:rPr>
        <w:t xml:space="preserve"> This table shows the multivariate analysis of growth in tariffs, inflation, nominal, and real interest rates.</w:t>
      </w:r>
      <w:r>
        <w:rPr>
          <w:rFonts w:ascii="Times New Roman" w:hAnsi="Times New Roman" w:cs="Times New Roman"/>
          <w:sz w:val="20"/>
          <w:szCs w:val="20"/>
          <w:u w:val="none"/>
          <w:vertAlign w:val="superscript"/>
        </w:rPr>
        <w:t xml:space="preserve"> *</w:t>
      </w:r>
      <w:r>
        <w:rPr>
          <w:rFonts w:ascii="Times New Roman" w:hAnsi="Times New Roman" w:cs="Times New Roman"/>
          <w:sz w:val="20"/>
          <w:szCs w:val="20"/>
          <w:u w:val="none"/>
        </w:rPr>
        <w:t>,</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and </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indicates statistical significance at the 10%, 5%, and 1% level, respectively</w:t>
      </w:r>
    </w:p>
    <w:p>
      <w:pPr>
        <w:spacing w:line="276" w:lineRule="auto"/>
        <w:ind w:right="-143"/>
        <w:rPr>
          <w:rFonts w:ascii="Times New Roman" w:hAnsi="Times New Roman" w:cs="Times New Roman"/>
          <w:sz w:val="20"/>
          <w:szCs w:val="20"/>
          <w:u w:val="none"/>
        </w:rPr>
      </w:pPr>
      <w:r>
        <w:rPr>
          <w:rFonts w:ascii="Times New Roman" w:hAnsi="Times New Roman" w:eastAsia="Times New Roman" w:cs="Times New Roman"/>
          <w:szCs w:val="21"/>
          <w:u w:val="none"/>
        </w:rPr>
        <w:t>The second analysis includes the 4 following variables: the growth in tariffs in highway ETR 407, g</w:t>
      </w:r>
      <w:r>
        <w:rPr>
          <w:rFonts w:ascii="Times New Roman" w:hAnsi="Times New Roman" w:eastAsia="Times New Roman" w:cs="Times New Roman"/>
          <w:szCs w:val="21"/>
          <w:u w:val="none"/>
          <w:vertAlign w:val="subscript"/>
        </w:rPr>
        <w:t>Tariff</w:t>
      </w:r>
      <w:r>
        <w:rPr>
          <w:rFonts w:ascii="Times New Roman" w:hAnsi="Times New Roman" w:eastAsia="Times New Roman" w:cs="Times New Roman"/>
          <w:szCs w:val="21"/>
          <w:u w:val="none"/>
        </w:rPr>
        <w:t>; inflation; the nominal interest rate r</w:t>
      </w:r>
      <w:r>
        <w:rPr>
          <w:rFonts w:ascii="Times New Roman" w:hAnsi="Times New Roman" w:eastAsia="Times New Roman" w:cs="Times New Roman"/>
          <w:szCs w:val="21"/>
          <w:u w:val="none"/>
          <w:vertAlign w:val="subscript"/>
        </w:rPr>
        <w:t>NOMINAL</w:t>
      </w:r>
      <w:r>
        <w:rPr>
          <w:rFonts w:ascii="Times New Roman" w:hAnsi="Times New Roman" w:eastAsia="Times New Roman" w:cs="Times New Roman"/>
          <w:szCs w:val="21"/>
          <w:u w:val="none"/>
        </w:rPr>
        <w:t>; and the real interest rate r</w:t>
      </w:r>
      <w:r>
        <w:rPr>
          <w:rFonts w:ascii="Times New Roman" w:hAnsi="Times New Roman" w:eastAsia="Times New Roman" w:cs="Times New Roman"/>
          <w:szCs w:val="21"/>
          <w:u w:val="none"/>
          <w:vertAlign w:val="subscript"/>
        </w:rPr>
        <w:t>REAL</w:t>
      </w:r>
      <w:r>
        <w:rPr>
          <w:rFonts w:ascii="Times New Roman" w:hAnsi="Times New Roman" w:eastAsia="Times New Roman" w:cs="Times New Roman"/>
          <w:szCs w:val="21"/>
          <w:u w:val="none"/>
        </w:rPr>
        <w:t>. Table 3 exhibits the results of this second analysis.</w:t>
      </w:r>
      <w:r>
        <w:rPr>
          <w:szCs w:val="21"/>
          <w:u w:val="none"/>
        </w:rPr>
        <w:t xml:space="preserve"> </w:t>
      </w:r>
      <w:r>
        <w:rPr>
          <w:rFonts w:ascii="Times New Roman" w:hAnsi="Times New Roman" w:eastAsia="Times New Roman" w:cs="Times New Roman"/>
          <w:szCs w:val="21"/>
          <w:u w:val="none"/>
        </w:rPr>
        <w:t xml:space="preserve">Several results arise from these two tables. First, we show that </w:t>
      </w:r>
      <w:r>
        <w:rPr>
          <w:rFonts w:ascii="Times New Roman" w:hAnsi="Times New Roman" w:eastAsia="Times New Roman" w:cs="Times New Roman"/>
          <w:szCs w:val="21"/>
          <w:u w:val="none"/>
        </w:rPr>
        <w:t>past inflation has a strong positive effect on the growth in traffic (i.e., VKT) and a weak positive effect on the growth in tariffs</w:t>
      </w:r>
      <w:r>
        <w:rPr>
          <w:rFonts w:ascii="Times New Roman" w:hAnsi="Times New Roman" w:eastAsia="Times New Roman" w:cs="Times New Roman"/>
          <w:szCs w:val="21"/>
          <w:u w:val="none"/>
        </w:rPr>
        <w:t>. The coefficients 0.0462 and 0.0506 in Table 2 show that there is a positive and significant relationship between past inflation (1 and 2 months, respectively) and traffic growth. The coefficients 0.0013 and 0.0007 in Table 3 show that this positive relationship is weak for growth in tariffs.</w:t>
      </w:r>
      <w:r>
        <w:rPr>
          <w:szCs w:val="21"/>
          <w:u w:val="none"/>
        </w:rPr>
        <w:t xml:space="preserve">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Second, we show that there is a </w:t>
      </w:r>
      <w:r>
        <w:rPr>
          <w:rFonts w:ascii="Times New Roman" w:hAnsi="Times New Roman" w:eastAsia="Times New Roman" w:cs="Times New Roman"/>
          <w:sz w:val="21"/>
          <w:szCs w:val="21"/>
          <w:u w:val="none"/>
        </w:rPr>
        <w:t>positive relation between traffic growth and both nominal and interest rates, but there is no relation between the growth in tariffs and interest rates</w:t>
      </w:r>
      <w:r>
        <w:rPr>
          <w:rFonts w:ascii="Times New Roman" w:hAnsi="Times New Roman" w:eastAsia="Times New Roman" w:cs="Times New Roman"/>
          <w:sz w:val="21"/>
          <w:szCs w:val="21"/>
          <w:u w:val="none"/>
        </w:rPr>
        <w:t>. The coefficients 0.6734 for nominal interest rates and 0.8005 for real interest rates in Table 3 show their positive relationship with traffic growth, while the no significance of the coefficients -2.3782 and -3.2375 in Table 2 show the no relation between growth in tariffs and interest rates at the short-term period (less than 3 months).</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Third, we also show that there is a significantly </w:t>
      </w:r>
      <w:r>
        <w:rPr>
          <w:rFonts w:ascii="Times New Roman" w:hAnsi="Times New Roman" w:eastAsia="Times New Roman" w:cs="Times New Roman"/>
          <w:sz w:val="21"/>
          <w:szCs w:val="21"/>
          <w:u w:val="none"/>
        </w:rPr>
        <w:t>positive autocorrelation in traffic</w:t>
      </w:r>
      <w:r>
        <w:rPr>
          <w:rFonts w:ascii="Times New Roman" w:hAnsi="Times New Roman" w:eastAsia="Times New Roman" w:cs="Times New Roman"/>
          <w:sz w:val="21"/>
          <w:szCs w:val="21"/>
          <w:u w:val="none"/>
        </w:rPr>
        <w:t xml:space="preserve"> up to 3 months, that is, if VKT increases today, then VKT will most likely increase during the next 3 months. The coefficients 0.1680, 0.4465, and 0.4695 in Table 2 display this positive autocorrelation for 1, 2, and 3 months. Similarly, there is a significantly </w:t>
      </w:r>
      <w:r>
        <w:rPr>
          <w:rFonts w:ascii="Times New Roman" w:hAnsi="Times New Roman" w:eastAsia="Times New Roman" w:cs="Times New Roman"/>
          <w:sz w:val="21"/>
          <w:szCs w:val="21"/>
          <w:u w:val="none"/>
        </w:rPr>
        <w:t>positive autocorrelation in tariffs</w:t>
      </w:r>
      <w:r>
        <w:rPr>
          <w:rFonts w:ascii="Times New Roman" w:hAnsi="Times New Roman" w:eastAsia="Times New Roman" w:cs="Times New Roman"/>
          <w:sz w:val="21"/>
          <w:szCs w:val="21"/>
          <w:u w:val="none"/>
        </w:rPr>
        <w:t xml:space="preserve"> up to 2 months. The coefficients 0.6817 and 0.3304 in Table 2 display this positive autocorrelation for 1 and 2 months.</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Although the interesting results for our analysis arise when we study the separate effects on traffic and tariffs, we also perform an analysis with of the effect of inflation, and real and nominal interest rates on the revenue growth of the ETR 407 (see Appendix A)</w:t>
      </w:r>
      <w:r>
        <w:rPr>
          <w:rStyle w:val="11"/>
          <w:rFonts w:ascii="Times New Roman" w:hAnsi="Times New Roman" w:eastAsia="Times New Roman" w:cs="Times New Roman"/>
          <w:sz w:val="21"/>
          <w:szCs w:val="21"/>
          <w:u w:val="none"/>
        </w:rPr>
        <w:footnoteReference w:id="0"/>
      </w:r>
      <w:r>
        <w:rPr>
          <w:rFonts w:ascii="Times New Roman" w:hAnsi="Times New Roman" w:eastAsia="Times New Roman" w:cs="Times New Roman"/>
          <w:sz w:val="21"/>
          <w:szCs w:val="21"/>
          <w:u w:val="none"/>
        </w:rPr>
        <w:t>. This analysis shows that there is a positive and significant relationship between the past and current growth in revenue, which indicates that the growth in revenues is persistent, that is, when there is a period of positive (negative) growth in revenues, the probability that the revenue growth is positive (negative) in the following months is high. We also find that the revenue growth in the recent past is positively related to current inflation, which corroborates the persistence in revenue growth. Moreover, we find that revenue growth and interest rates are positively related, but the positive (negative) growth in revenues anticipates the increase (decrease) in interest rates. The lagged effects that we obtain from these results are consistent with the macroeconomic framework and the monetary policy transmission channels that we discussed in section 2. In particular, notice that the growth in revenues and the increase in inflation lead the increase in nominal and real interest rates.</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cs="Times New Roman"/>
          <w:b/>
          <w:bCs/>
          <w:sz w:val="21"/>
          <w:szCs w:val="21"/>
          <w:u w:val="none"/>
        </w:rPr>
        <w:t>Appendix A. Univariate and Multivariate Analyses of Revenue Growth</w:t>
      </w:r>
    </w:p>
    <w:p>
      <w:pPr>
        <w:pStyle w:val="26"/>
        <w:spacing w:before="12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We run 1 univariate VAR analysis and 4 bivariate VAR analyses using the following specifications: [1] the growth in the monthly revenues in highway ETR 407 only, g</w:t>
      </w:r>
      <w:r>
        <w:rPr>
          <w:rFonts w:ascii="Times New Roman" w:hAnsi="Times New Roman" w:eastAsia="Times New Roman" w:cs="Times New Roman"/>
          <w:sz w:val="21"/>
          <w:szCs w:val="21"/>
          <w:u w:val="none"/>
          <w:vertAlign w:val="subscript"/>
        </w:rPr>
        <w:t>REVENUE</w:t>
      </w:r>
      <w:r>
        <w:rPr>
          <w:rFonts w:ascii="Times New Roman" w:hAnsi="Times New Roman" w:eastAsia="Times New Roman" w:cs="Times New Roman"/>
          <w:sz w:val="21"/>
          <w:szCs w:val="21"/>
          <w:u w:val="none"/>
        </w:rPr>
        <w:t>; [2] g</w:t>
      </w:r>
      <w:r>
        <w:rPr>
          <w:rFonts w:ascii="Times New Roman" w:hAnsi="Times New Roman" w:eastAsia="Times New Roman" w:cs="Times New Roman"/>
          <w:sz w:val="21"/>
          <w:szCs w:val="21"/>
          <w:u w:val="none"/>
          <w:vertAlign w:val="subscript"/>
        </w:rPr>
        <w:t>REVENUE</w:t>
      </w:r>
      <w:r>
        <w:rPr>
          <w:rFonts w:ascii="Times New Roman" w:hAnsi="Times New Roman" w:eastAsia="Times New Roman" w:cs="Times New Roman"/>
          <w:sz w:val="21"/>
          <w:szCs w:val="21"/>
          <w:u w:val="none"/>
        </w:rPr>
        <w:t xml:space="preserve"> and inflation; [3] g</w:t>
      </w:r>
      <w:r>
        <w:rPr>
          <w:rFonts w:ascii="Times New Roman" w:hAnsi="Times New Roman" w:eastAsia="Times New Roman" w:cs="Times New Roman"/>
          <w:sz w:val="21"/>
          <w:szCs w:val="21"/>
          <w:u w:val="none"/>
          <w:vertAlign w:val="subscript"/>
        </w:rPr>
        <w:t>REVENUE</w:t>
      </w:r>
      <w:r>
        <w:rPr>
          <w:rFonts w:ascii="Times New Roman" w:hAnsi="Times New Roman" w:eastAsia="Times New Roman" w:cs="Times New Roman"/>
          <w:sz w:val="21"/>
          <w:szCs w:val="21"/>
          <w:u w:val="none"/>
        </w:rPr>
        <w:t xml:space="preserve"> and GDP growth, g</w:t>
      </w:r>
      <w:r>
        <w:rPr>
          <w:rFonts w:ascii="Times New Roman" w:hAnsi="Times New Roman" w:eastAsia="Times New Roman" w:cs="Times New Roman"/>
          <w:sz w:val="21"/>
          <w:szCs w:val="21"/>
          <w:u w:val="none"/>
          <w:vertAlign w:val="subscript"/>
        </w:rPr>
        <w:t>GDP</w:t>
      </w:r>
      <w:r>
        <w:rPr>
          <w:rFonts w:ascii="Times New Roman" w:hAnsi="Times New Roman" w:eastAsia="Times New Roman" w:cs="Times New Roman"/>
          <w:sz w:val="21"/>
          <w:szCs w:val="21"/>
          <w:u w:val="none"/>
        </w:rPr>
        <w:t>; [4] g</w:t>
      </w:r>
      <w:r>
        <w:rPr>
          <w:rFonts w:ascii="Times New Roman" w:hAnsi="Times New Roman" w:eastAsia="Times New Roman" w:cs="Times New Roman"/>
          <w:sz w:val="21"/>
          <w:szCs w:val="21"/>
          <w:u w:val="none"/>
          <w:vertAlign w:val="subscript"/>
        </w:rPr>
        <w:t>REVENUE</w:t>
      </w:r>
      <w:r>
        <w:rPr>
          <w:rFonts w:ascii="Times New Roman" w:hAnsi="Times New Roman" w:eastAsia="Times New Roman" w:cs="Times New Roman"/>
          <w:sz w:val="21"/>
          <w:szCs w:val="21"/>
          <w:u w:val="none"/>
        </w:rPr>
        <w:t xml:space="preserve"> and the nominal interest rate r</w:t>
      </w:r>
      <w:r>
        <w:rPr>
          <w:rFonts w:ascii="Times New Roman" w:hAnsi="Times New Roman" w:eastAsia="Times New Roman" w:cs="Times New Roman"/>
          <w:sz w:val="21"/>
          <w:szCs w:val="21"/>
          <w:u w:val="none"/>
          <w:vertAlign w:val="subscript"/>
        </w:rPr>
        <w:t>NOMINAL</w:t>
      </w:r>
      <w:r>
        <w:rPr>
          <w:rFonts w:ascii="Times New Roman" w:hAnsi="Times New Roman" w:eastAsia="Times New Roman" w:cs="Times New Roman"/>
          <w:sz w:val="21"/>
          <w:szCs w:val="21"/>
          <w:u w:val="none"/>
        </w:rPr>
        <w:t>; and [5] g</w:t>
      </w:r>
      <w:r>
        <w:rPr>
          <w:rFonts w:ascii="Times New Roman" w:hAnsi="Times New Roman" w:eastAsia="Times New Roman" w:cs="Times New Roman"/>
          <w:sz w:val="21"/>
          <w:szCs w:val="21"/>
          <w:u w:val="none"/>
          <w:vertAlign w:val="subscript"/>
        </w:rPr>
        <w:t>REVENUE</w:t>
      </w:r>
      <w:r>
        <w:rPr>
          <w:rFonts w:ascii="Times New Roman" w:hAnsi="Times New Roman" w:eastAsia="Times New Roman" w:cs="Times New Roman"/>
          <w:sz w:val="21"/>
          <w:szCs w:val="21"/>
          <w:u w:val="none"/>
        </w:rPr>
        <w:t xml:space="preserve"> and the real interest rate r</w:t>
      </w:r>
      <w:r>
        <w:rPr>
          <w:rFonts w:ascii="Times New Roman" w:hAnsi="Times New Roman" w:eastAsia="Times New Roman" w:cs="Times New Roman"/>
          <w:sz w:val="21"/>
          <w:szCs w:val="21"/>
          <w:u w:val="none"/>
          <w:vertAlign w:val="subscript"/>
        </w:rPr>
        <w:t>REAL</w:t>
      </w:r>
      <w:r>
        <w:rPr>
          <w:rFonts w:ascii="Times New Roman" w:hAnsi="Times New Roman" w:eastAsia="Times New Roman" w:cs="Times New Roman"/>
          <w:sz w:val="21"/>
          <w:szCs w:val="21"/>
          <w:u w:val="none"/>
        </w:rPr>
        <w:t xml:space="preserve">. Table A1 exhibits the results of these 5 specifications.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Six main results arise from these analyses. First, lagged revenue growth predicts current revenue growth up to three months across all the 5 specifications. The coefficients are statistically significant for all the specifications. Second, past inflation is positively related to current growth in revenues. This effect is significant up to 2 months. Third, past growth in revenue is also positively related to current inflation up to 2 months. Fourth, the relationship between the revenue growth and past GDP growth is weak. Later in the analysis, we will focus on the study of the correlation structure of revenue growth and GDP. Fifth, nominal interest rates and real interest rates do not predict growth in revenue. Sixth, both nominal and real interest rates present a strong one-month autocorrelation. These results are one-to-one (specification [1]) and bivariate (specifications [2]-[5]). Next step is to study the full multivariate model with all the endogenous variables together, that is, growth in revenue, inflation, GDP growth, nominal interest rates, and real interest rates. Table A2 displays the results of this VAR specification. </w:t>
      </w:r>
    </w:p>
    <w:p>
      <w:pPr>
        <w:spacing w:line="276" w:lineRule="auto"/>
        <w:rPr>
          <w:rFonts w:eastAsia="Times New Roman"/>
          <w:u w:val="none"/>
        </w:rPr>
        <w:sectPr>
          <w:footerReference r:id="rId4" w:type="default"/>
          <w:footnotePr>
            <w:numRestart w:val="eachSect"/>
          </w:footnotePr>
          <w:pgSz w:w="11906" w:h="16838"/>
          <w:pgMar w:top="1800" w:right="1440" w:bottom="1800" w:left="1440" w:header="709" w:footer="709" w:gutter="0"/>
          <w:cols w:space="708" w:num="1"/>
          <w:docGrid w:linePitch="360" w:charSpace="0"/>
        </w:sectPr>
      </w:pPr>
      <w:r>
        <w:rPr>
          <w:rFonts w:ascii="Times New Roman" w:hAnsi="Times New Roman" w:eastAsia="Times New Roman" w:cs="Times New Roman"/>
          <w:szCs w:val="21"/>
          <w:u w:val="none"/>
        </w:rPr>
        <w:br w:type="page"/>
      </w:r>
    </w:p>
    <w:tbl>
      <w:tblPr>
        <w:tblStyle w:val="12"/>
        <w:tblpPr w:leftFromText="180" w:rightFromText="180" w:vertAnchor="page" w:horzAnchor="margin" w:tblpXSpec="center" w:tblpY="841"/>
        <w:tblW w:w="11723" w:type="dxa"/>
        <w:tblInd w:w="0" w:type="dxa"/>
        <w:tblLayout w:type="fixed"/>
        <w:tblCellMar>
          <w:top w:w="0" w:type="dxa"/>
          <w:left w:w="70" w:type="dxa"/>
          <w:bottom w:w="0" w:type="dxa"/>
          <w:right w:w="70" w:type="dxa"/>
        </w:tblCellMar>
      </w:tblPr>
      <w:tblGrid>
        <w:gridCol w:w="1134"/>
        <w:gridCol w:w="580"/>
        <w:gridCol w:w="690"/>
        <w:gridCol w:w="440"/>
        <w:gridCol w:w="260"/>
        <w:gridCol w:w="754"/>
        <w:gridCol w:w="440"/>
        <w:gridCol w:w="1021"/>
        <w:gridCol w:w="440"/>
        <w:gridCol w:w="190"/>
        <w:gridCol w:w="30"/>
        <w:gridCol w:w="190"/>
        <w:gridCol w:w="963"/>
        <w:gridCol w:w="250"/>
        <w:gridCol w:w="190"/>
        <w:gridCol w:w="865"/>
        <w:gridCol w:w="250"/>
        <w:gridCol w:w="190"/>
        <w:gridCol w:w="30"/>
        <w:gridCol w:w="190"/>
        <w:gridCol w:w="872"/>
        <w:gridCol w:w="250"/>
        <w:gridCol w:w="190"/>
        <w:gridCol w:w="874"/>
        <w:gridCol w:w="250"/>
        <w:gridCol w:w="190"/>
      </w:tblGrid>
      <w:tr>
        <w:tblPrEx>
          <w:tblLayout w:type="fixed"/>
          <w:tblCellMar>
            <w:top w:w="0" w:type="dxa"/>
            <w:left w:w="70" w:type="dxa"/>
            <w:bottom w:w="0" w:type="dxa"/>
            <w:right w:w="70" w:type="dxa"/>
          </w:tblCellMar>
        </w:tblPrEx>
        <w:trPr>
          <w:gridAfter w:val="1"/>
          <w:wAfter w:w="190" w:type="dxa"/>
          <w:trHeight w:val="300" w:hRule="atLeast"/>
        </w:trPr>
        <w:tc>
          <w:tcPr>
            <w:tcW w:w="1134"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58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1130"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w:t>
            </w:r>
          </w:p>
        </w:tc>
        <w:tc>
          <w:tcPr>
            <w:tcW w:w="26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655" w:type="dxa"/>
            <w:gridSpan w:val="4"/>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[2]</w:t>
            </w:r>
          </w:p>
        </w:tc>
        <w:tc>
          <w:tcPr>
            <w:tcW w:w="220" w:type="dxa"/>
            <w:gridSpan w:val="2"/>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708" w:type="dxa"/>
            <w:gridSpan w:val="6"/>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[3]</w:t>
            </w:r>
          </w:p>
        </w:tc>
        <w:tc>
          <w:tcPr>
            <w:tcW w:w="220" w:type="dxa"/>
            <w:gridSpan w:val="2"/>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626" w:type="dxa"/>
            <w:gridSpan w:val="6"/>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[4]</w:t>
            </w:r>
          </w:p>
        </w:tc>
      </w:tr>
      <w:tr>
        <w:tblPrEx>
          <w:tblLayout w:type="fixed"/>
          <w:tblCellMar>
            <w:top w:w="0" w:type="dxa"/>
            <w:left w:w="70" w:type="dxa"/>
            <w:bottom w:w="0" w:type="dxa"/>
            <w:right w:w="70" w:type="dxa"/>
          </w:tblCellMar>
        </w:tblPrEx>
        <w:trPr>
          <w:gridAfter w:val="1"/>
          <w:wAfter w:w="190" w:type="dxa"/>
          <w:trHeight w:val="300" w:hRule="atLeast"/>
        </w:trPr>
        <w:tc>
          <w:tcPr>
            <w:tcW w:w="1134"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58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1130"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26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2655" w:type="dxa"/>
            <w:gridSpan w:val="4"/>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220" w:type="dxa"/>
            <w:gridSpan w:val="2"/>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2708" w:type="dxa"/>
            <w:gridSpan w:val="6"/>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220" w:type="dxa"/>
            <w:gridSpan w:val="2"/>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c>
          <w:tcPr>
            <w:tcW w:w="2626" w:type="dxa"/>
            <w:gridSpan w:val="6"/>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p>
        </w:tc>
      </w:tr>
      <w:tr>
        <w:tblPrEx>
          <w:tblLayout w:type="fixed"/>
          <w:tblCellMar>
            <w:top w:w="0" w:type="dxa"/>
            <w:left w:w="70" w:type="dxa"/>
            <w:bottom w:w="0" w:type="dxa"/>
            <w:right w:w="70" w:type="dxa"/>
          </w:tblCellMar>
        </w:tblPrEx>
        <w:trPr>
          <w:gridAfter w:val="1"/>
          <w:wAfter w:w="190" w:type="dxa"/>
          <w:trHeight w:val="360" w:hRule="atLeast"/>
        </w:trPr>
        <w:tc>
          <w:tcPr>
            <w:tcW w:w="1134"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1130"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g</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revenue</w:t>
            </w:r>
          </w:p>
        </w:tc>
        <w:tc>
          <w:tcPr>
            <w:tcW w:w="26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1194"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g</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revenue</w:t>
            </w:r>
          </w:p>
        </w:tc>
        <w:tc>
          <w:tcPr>
            <w:tcW w:w="1461"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inflation</w:t>
            </w:r>
          </w:p>
        </w:tc>
        <w:tc>
          <w:tcPr>
            <w:tcW w:w="220" w:type="dxa"/>
            <w:gridSpan w:val="2"/>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1403" w:type="dxa"/>
            <w:gridSpan w:val="3"/>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g</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revenue</w:t>
            </w:r>
          </w:p>
        </w:tc>
        <w:tc>
          <w:tcPr>
            <w:tcW w:w="1305" w:type="dxa"/>
            <w:gridSpan w:val="3"/>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r</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nominal</w:t>
            </w:r>
          </w:p>
        </w:tc>
        <w:tc>
          <w:tcPr>
            <w:tcW w:w="220" w:type="dxa"/>
            <w:gridSpan w:val="2"/>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1312" w:type="dxa"/>
            <w:gridSpan w:val="3"/>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g</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revenue</w:t>
            </w:r>
          </w:p>
        </w:tc>
        <w:tc>
          <w:tcPr>
            <w:tcW w:w="1314" w:type="dxa"/>
            <w:gridSpan w:val="3"/>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r</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real</w:t>
            </w:r>
          </w:p>
        </w:tc>
      </w:tr>
      <w:tr>
        <w:tblPrEx>
          <w:tblLayout w:type="fixed"/>
          <w:tblCellMar>
            <w:top w:w="0" w:type="dxa"/>
            <w:left w:w="70" w:type="dxa"/>
            <w:bottom w:w="0" w:type="dxa"/>
            <w:right w:w="70" w:type="dxa"/>
          </w:tblCellMar>
        </w:tblPrEx>
        <w:trPr>
          <w:trHeight w:val="36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g</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revenue</w:t>
            </w: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1</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0.2549</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0.0734</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1.4072</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0.2518</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0.9900</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0.2541</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1.1088</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2</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0.4959</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0.3984</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1.9547</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0.5062</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0.0465</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0.5159</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-0.037</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242"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3</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0.3910</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0.3820</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-0.1757</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0.3902</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-0.3998</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0.3954</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-0.0954</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inflation</w:t>
            </w: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1</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0.0358</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0.1834</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2</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0.0390</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0.0317</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3</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0.0104</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-0.0849</w:t>
            </w: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6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r</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nominal</w:t>
            </w: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1</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-0.0196</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0.9799</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2</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0.0324</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-0.1562</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3</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-0.0125</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0.0368</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6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r</w:t>
            </w:r>
            <w:r>
              <w:rPr>
                <w:rFonts w:ascii="Times New Roman" w:hAnsi="Times New Roman" w:eastAsia="Times New Roman" w:cs="Times New Roman"/>
                <w:color w:val="000000" w:themeColor="text1"/>
                <w:sz w:val="20"/>
                <w:szCs w:val="20"/>
                <w:u w:val="none"/>
                <w:vertAlign w:val="subscript"/>
                <w:lang w:eastAsia="es-ES"/>
                <w14:textFill>
                  <w14:solidFill>
                    <w14:schemeClr w14:val="tx1"/>
                  </w14:solidFill>
                </w14:textFill>
              </w:rPr>
              <w:t>real</w:t>
            </w: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1</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-0.2383</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0.9907</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w:t>
            </w: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2</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0.0274</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-0.209</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58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lag 3</w:t>
            </w:r>
          </w:p>
        </w:tc>
        <w:tc>
          <w:tcPr>
            <w:tcW w:w="690"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sz w:val="20"/>
                <w:szCs w:val="20"/>
                <w:u w:val="none"/>
                <w:lang w:eastAsia="es-ES"/>
              </w:rPr>
            </w:pP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-0.0066</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0.0746</w:t>
            </w:r>
          </w:p>
        </w:tc>
        <w:tc>
          <w:tcPr>
            <w:tcW w:w="440" w:type="dxa"/>
            <w:gridSpan w:val="2"/>
            <w:tcBorders>
              <w:top w:val="nil"/>
              <w:left w:val="nil"/>
              <w:bottom w:val="nil"/>
              <w:right w:val="nil"/>
            </w:tcBorders>
            <w:shd w:val="clear" w:color="auto" w:fill="auto"/>
            <w:vAlign w:val="bottom"/>
          </w:tcPr>
          <w:p>
            <w:pPr>
              <w:spacing w:after="192" w:afterLines="80"/>
              <w:contextualSpacing/>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constant</w:t>
            </w:r>
          </w:p>
        </w:tc>
        <w:tc>
          <w:tcPr>
            <w:tcW w:w="580" w:type="dxa"/>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690" w:type="dxa"/>
            <w:tcBorders>
              <w:top w:val="nil"/>
              <w:left w:val="nil"/>
              <w:bottom w:val="single" w:color="auto" w:sz="4" w:space="0"/>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0.4390</w:t>
            </w:r>
          </w:p>
        </w:tc>
        <w:tc>
          <w:tcPr>
            <w:tcW w:w="440" w:type="dxa"/>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60" w:type="dxa"/>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754" w:type="dxa"/>
            <w:tcBorders>
              <w:top w:val="nil"/>
              <w:left w:val="nil"/>
              <w:bottom w:val="single" w:color="auto" w:sz="4" w:space="0"/>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0.6406</w:t>
            </w:r>
          </w:p>
        </w:tc>
        <w:tc>
          <w:tcPr>
            <w:tcW w:w="440" w:type="dxa"/>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1021" w:type="dxa"/>
            <w:tcBorders>
              <w:top w:val="nil"/>
              <w:left w:val="nil"/>
              <w:bottom w:val="single" w:color="auto" w:sz="4" w:space="0"/>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24.76</w:t>
            </w:r>
          </w:p>
        </w:tc>
        <w:tc>
          <w:tcPr>
            <w:tcW w:w="440" w:type="dxa"/>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190" w:type="dxa"/>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20" w:type="dxa"/>
            <w:gridSpan w:val="2"/>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963" w:type="dxa"/>
            <w:tcBorders>
              <w:top w:val="nil"/>
              <w:left w:val="nil"/>
              <w:bottom w:val="single" w:color="auto" w:sz="4" w:space="0"/>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-0.0467</w:t>
            </w:r>
          </w:p>
        </w:tc>
        <w:tc>
          <w:tcPr>
            <w:tcW w:w="440" w:type="dxa"/>
            <w:gridSpan w:val="2"/>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865" w:type="dxa"/>
            <w:tcBorders>
              <w:top w:val="nil"/>
              <w:left w:val="nil"/>
              <w:bottom w:val="single" w:color="auto" w:sz="4" w:space="0"/>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75.67</w:t>
            </w:r>
          </w:p>
        </w:tc>
        <w:tc>
          <w:tcPr>
            <w:tcW w:w="440" w:type="dxa"/>
            <w:gridSpan w:val="2"/>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20" w:type="dxa"/>
            <w:gridSpan w:val="2"/>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872" w:type="dxa"/>
            <w:tcBorders>
              <w:top w:val="nil"/>
              <w:left w:val="nil"/>
              <w:bottom w:val="single" w:color="auto" w:sz="4" w:space="0"/>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1.8931</w:t>
            </w:r>
          </w:p>
        </w:tc>
        <w:tc>
          <w:tcPr>
            <w:tcW w:w="440" w:type="dxa"/>
            <w:gridSpan w:val="2"/>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874" w:type="dxa"/>
            <w:tcBorders>
              <w:top w:val="nil"/>
              <w:left w:val="nil"/>
              <w:bottom w:val="single" w:color="auto" w:sz="4" w:space="0"/>
              <w:right w:val="nil"/>
            </w:tcBorders>
            <w:shd w:val="clear" w:color="auto" w:fill="auto"/>
            <w:vAlign w:val="bottom"/>
          </w:tcPr>
          <w:p>
            <w:pPr>
              <w:spacing w:after="192" w:afterLines="80"/>
              <w:contextualSpacing/>
              <w:jc w:val="right"/>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82.43</w:t>
            </w:r>
          </w:p>
        </w:tc>
        <w:tc>
          <w:tcPr>
            <w:tcW w:w="440" w:type="dxa"/>
            <w:gridSpan w:val="2"/>
            <w:tcBorders>
              <w:top w:val="nil"/>
              <w:left w:val="nil"/>
              <w:bottom w:val="single" w:color="auto" w:sz="4" w:space="0"/>
              <w:right w:val="nil"/>
            </w:tcBorders>
            <w:shd w:val="clear" w:color="auto" w:fill="auto"/>
            <w:vAlign w:val="bottom"/>
          </w:tcPr>
          <w:p>
            <w:pPr>
              <w:spacing w:after="192" w:afterLines="80"/>
              <w:contextualSpacing/>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Time FE</w:t>
            </w:r>
          </w:p>
        </w:tc>
        <w:tc>
          <w:tcPr>
            <w:tcW w:w="58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690"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Yes</w:t>
            </w:r>
          </w:p>
        </w:tc>
        <w:tc>
          <w:tcPr>
            <w:tcW w:w="44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Yes</w:t>
            </w:r>
          </w:p>
        </w:tc>
        <w:tc>
          <w:tcPr>
            <w:tcW w:w="44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Yes</w:t>
            </w:r>
          </w:p>
        </w:tc>
        <w:tc>
          <w:tcPr>
            <w:tcW w:w="44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Yes</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Yes</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Yes</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Yes</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trPr>
        <w:tc>
          <w:tcPr>
            <w:tcW w:w="1134"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Num. Obs.</w:t>
            </w:r>
          </w:p>
        </w:tc>
        <w:tc>
          <w:tcPr>
            <w:tcW w:w="58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690"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125</w:t>
            </w:r>
          </w:p>
        </w:tc>
        <w:tc>
          <w:tcPr>
            <w:tcW w:w="44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26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754"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116</w:t>
            </w:r>
          </w:p>
        </w:tc>
        <w:tc>
          <w:tcPr>
            <w:tcW w:w="44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1021"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116</w:t>
            </w:r>
          </w:p>
        </w:tc>
        <w:tc>
          <w:tcPr>
            <w:tcW w:w="44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963"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116</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865"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116</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22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872"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116</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c>
          <w:tcPr>
            <w:tcW w:w="874" w:type="dxa"/>
            <w:tcBorders>
              <w:top w:val="nil"/>
              <w:left w:val="nil"/>
              <w:bottom w:val="nil"/>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116</w:t>
            </w:r>
          </w:p>
        </w:tc>
        <w:tc>
          <w:tcPr>
            <w:tcW w:w="440" w:type="dxa"/>
            <w:gridSpan w:val="2"/>
            <w:tcBorders>
              <w:top w:val="nil"/>
              <w:left w:val="nil"/>
              <w:bottom w:val="nil"/>
              <w:right w:val="nil"/>
            </w:tcBorders>
            <w:shd w:val="clear" w:color="auto" w:fill="auto"/>
            <w:vAlign w:val="bottom"/>
          </w:tcPr>
          <w:p>
            <w:pPr>
              <w:spacing w:after="0"/>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45" w:hRule="atLeast"/>
        </w:trPr>
        <w:tc>
          <w:tcPr>
            <w:tcW w:w="1134" w:type="dxa"/>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R</w:t>
            </w:r>
            <w:r>
              <w:rPr>
                <w:rFonts w:ascii="Times New Roman" w:hAnsi="Times New Roman" w:eastAsia="Times New Roman" w:cs="Times New Roman"/>
                <w:color w:val="000000" w:themeColor="text1"/>
                <w:sz w:val="20"/>
                <w:szCs w:val="20"/>
                <w:u w:val="none"/>
                <w:vertAlign w:val="superscript"/>
                <w:lang w:eastAsia="es-ES"/>
                <w14:textFill>
                  <w14:solidFill>
                    <w14:schemeClr w14:val="tx1"/>
                  </w14:solidFill>
                </w14:textFill>
              </w:rPr>
              <w:t>2</w:t>
            </w:r>
          </w:p>
        </w:tc>
        <w:tc>
          <w:tcPr>
            <w:tcW w:w="580" w:type="dxa"/>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690" w:type="dxa"/>
            <w:tcBorders>
              <w:top w:val="nil"/>
              <w:left w:val="nil"/>
              <w:bottom w:val="single" w:color="auto" w:sz="4" w:space="0"/>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0.295</w:t>
            </w:r>
          </w:p>
        </w:tc>
        <w:tc>
          <w:tcPr>
            <w:tcW w:w="440" w:type="dxa"/>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60" w:type="dxa"/>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754" w:type="dxa"/>
            <w:tcBorders>
              <w:top w:val="nil"/>
              <w:left w:val="nil"/>
              <w:bottom w:val="single" w:color="auto" w:sz="4" w:space="0"/>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0.365</w:t>
            </w:r>
          </w:p>
        </w:tc>
        <w:tc>
          <w:tcPr>
            <w:tcW w:w="440" w:type="dxa"/>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1021" w:type="dxa"/>
            <w:tcBorders>
              <w:top w:val="nil"/>
              <w:left w:val="nil"/>
              <w:bottom w:val="single" w:color="auto" w:sz="4" w:space="0"/>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0.213</w:t>
            </w:r>
          </w:p>
        </w:tc>
        <w:tc>
          <w:tcPr>
            <w:tcW w:w="440" w:type="dxa"/>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190" w:type="dxa"/>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20" w:type="dxa"/>
            <w:gridSpan w:val="2"/>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963" w:type="dxa"/>
            <w:tcBorders>
              <w:top w:val="nil"/>
              <w:left w:val="nil"/>
              <w:bottom w:val="single" w:color="auto" w:sz="4" w:space="0"/>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0.285</w:t>
            </w:r>
          </w:p>
        </w:tc>
        <w:tc>
          <w:tcPr>
            <w:tcW w:w="440" w:type="dxa"/>
            <w:gridSpan w:val="2"/>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865" w:type="dxa"/>
            <w:tcBorders>
              <w:top w:val="nil"/>
              <w:left w:val="nil"/>
              <w:bottom w:val="single" w:color="auto" w:sz="4" w:space="0"/>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0.971</w:t>
            </w:r>
          </w:p>
        </w:tc>
        <w:tc>
          <w:tcPr>
            <w:tcW w:w="440" w:type="dxa"/>
            <w:gridSpan w:val="2"/>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220" w:type="dxa"/>
            <w:gridSpan w:val="2"/>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872" w:type="dxa"/>
            <w:tcBorders>
              <w:top w:val="nil"/>
              <w:left w:val="nil"/>
              <w:bottom w:val="single" w:color="auto" w:sz="4" w:space="0"/>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0.285</w:t>
            </w:r>
          </w:p>
        </w:tc>
        <w:tc>
          <w:tcPr>
            <w:tcW w:w="440" w:type="dxa"/>
            <w:gridSpan w:val="2"/>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c>
          <w:tcPr>
            <w:tcW w:w="874" w:type="dxa"/>
            <w:tcBorders>
              <w:top w:val="nil"/>
              <w:left w:val="nil"/>
              <w:bottom w:val="single" w:color="auto" w:sz="4" w:space="0"/>
              <w:right w:val="nil"/>
            </w:tcBorders>
            <w:shd w:val="clear" w:color="auto" w:fill="auto"/>
            <w:vAlign w:val="bottom"/>
          </w:tcPr>
          <w:p>
            <w:pPr>
              <w:spacing w:after="0"/>
              <w:jc w:val="center"/>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0.969</w:t>
            </w:r>
          </w:p>
        </w:tc>
        <w:tc>
          <w:tcPr>
            <w:tcW w:w="440" w:type="dxa"/>
            <w:gridSpan w:val="2"/>
            <w:tcBorders>
              <w:top w:val="nil"/>
              <w:left w:val="nil"/>
              <w:bottom w:val="single" w:color="auto" w:sz="4" w:space="0"/>
              <w:right w:val="nil"/>
            </w:tcBorders>
            <w:shd w:val="clear" w:color="auto" w:fill="auto"/>
            <w:vAlign w:val="bottom"/>
          </w:tcPr>
          <w:p>
            <w:pPr>
              <w:spacing w:after="0"/>
              <w:rPr>
                <w:rFonts w:ascii="Times New Roman" w:hAnsi="Times New Roman" w:eastAsia="Times New Roman" w:cs="Times New Roman"/>
                <w:color w:val="000000" w:themeColor="text1"/>
                <w:sz w:val="20"/>
                <w:szCs w:val="20"/>
                <w:u w:val="none"/>
                <w:lang w:eastAsia="es-ES"/>
                <w14:textFill>
                  <w14:solidFill>
                    <w14:schemeClr w14:val="tx1"/>
                  </w14:solidFill>
                </w14:textFill>
              </w:rPr>
            </w:pPr>
            <w:r>
              <w:rPr>
                <w:rFonts w:ascii="Times New Roman" w:hAnsi="Times New Roman" w:eastAsia="Times New Roman" w:cs="Times New Roman"/>
                <w:color w:val="000000" w:themeColor="text1"/>
                <w:sz w:val="20"/>
                <w:szCs w:val="20"/>
                <w:u w:val="none"/>
                <w:lang w:eastAsia="es-ES"/>
                <w14:textFill>
                  <w14:solidFill>
                    <w14:schemeClr w14:val="tx1"/>
                  </w14:solidFill>
                </w14:textFill>
              </w:rPr>
              <w:t> </w:t>
            </w:r>
          </w:p>
        </w:tc>
      </w:tr>
    </w:tbl>
    <w:p>
      <w:pPr>
        <w:spacing w:line="360" w:lineRule="auto"/>
        <w:rPr>
          <w:rFonts w:ascii="Times New Roman" w:hAnsi="Times New Roman" w:cs="Times New Roman"/>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b/>
          <w:sz w:val="21"/>
          <w:szCs w:val="21"/>
          <w:u w:val="none"/>
        </w:rPr>
      </w:pPr>
    </w:p>
    <w:p>
      <w:pPr>
        <w:pStyle w:val="26"/>
        <w:spacing w:before="240" w:after="120" w:line="240" w:lineRule="auto"/>
        <w:ind w:left="0"/>
        <w:contextualSpacing w:val="0"/>
        <w:jc w:val="center"/>
        <w:rPr>
          <w:rFonts w:ascii="Times New Roman" w:hAnsi="Times New Roman" w:eastAsia="Times New Roman" w:cs="Times New Roman"/>
          <w:sz w:val="20"/>
          <w:szCs w:val="20"/>
          <w:u w:val="none"/>
        </w:rPr>
      </w:pPr>
      <w:r>
        <w:rPr>
          <w:rFonts w:ascii="Times New Roman" w:hAnsi="Times New Roman" w:eastAsia="Times New Roman" w:cs="Times New Roman"/>
          <w:b/>
          <w:sz w:val="20"/>
          <w:szCs w:val="20"/>
          <w:u w:val="none"/>
        </w:rPr>
        <w:t>Table A1. Univariate and bivariate VAR analysis.</w:t>
      </w:r>
      <w:r>
        <w:rPr>
          <w:rFonts w:ascii="Times New Roman" w:hAnsi="Times New Roman" w:eastAsia="Times New Roman" w:cs="Times New Roman"/>
          <w:sz w:val="20"/>
          <w:szCs w:val="20"/>
          <w:u w:val="none"/>
        </w:rPr>
        <w:t xml:space="preserve"> Specification [1] studies the univariate effects of growth in revenues with lags up to 3 months. [2] shows the bivariate analysis of growth in revenues and inflation. [3] shows the bivariate analysis of growth in revenues and nominal interest rates. [4] shows the bivariate analysis of growth in revenues and real interest rates. All the specifications include time fixed effects.</w:t>
      </w:r>
      <w:r>
        <w:rPr>
          <w:rFonts w:ascii="Times New Roman" w:hAnsi="Times New Roman" w:eastAsia="Times New Roman" w:cs="Times New Roman"/>
          <w:sz w:val="20"/>
          <w:szCs w:val="20"/>
          <w:u w:val="none"/>
          <w:vertAlign w:val="superscript"/>
        </w:rPr>
        <w:t xml:space="preserve"> *</w:t>
      </w:r>
      <w:r>
        <w:rPr>
          <w:rFonts w:ascii="Times New Roman" w:hAnsi="Times New Roman" w:eastAsia="Times New Roman" w:cs="Times New Roman"/>
          <w:sz w:val="20"/>
          <w:szCs w:val="20"/>
          <w:u w:val="none"/>
        </w:rPr>
        <w:t xml:space="preserve">, </w:t>
      </w:r>
      <w:r>
        <w:rPr>
          <w:rFonts w:ascii="Times New Roman" w:hAnsi="Times New Roman" w:eastAsia="Times New Roman" w:cs="Times New Roman"/>
          <w:sz w:val="20"/>
          <w:szCs w:val="20"/>
          <w:u w:val="none"/>
          <w:vertAlign w:val="superscript"/>
        </w:rPr>
        <w:t>**</w:t>
      </w:r>
      <w:r>
        <w:rPr>
          <w:rFonts w:ascii="Times New Roman" w:hAnsi="Times New Roman" w:eastAsia="Times New Roman" w:cs="Times New Roman"/>
          <w:sz w:val="20"/>
          <w:szCs w:val="20"/>
          <w:u w:val="none"/>
        </w:rPr>
        <w:t xml:space="preserve">, and </w:t>
      </w:r>
      <w:r>
        <w:rPr>
          <w:rFonts w:ascii="Times New Roman" w:hAnsi="Times New Roman" w:eastAsia="Times New Roman" w:cs="Times New Roman"/>
          <w:sz w:val="20"/>
          <w:szCs w:val="20"/>
          <w:u w:val="none"/>
          <w:vertAlign w:val="superscript"/>
        </w:rPr>
        <w:t>***</w:t>
      </w:r>
      <w:r>
        <w:rPr>
          <w:rFonts w:ascii="Times New Roman" w:hAnsi="Times New Roman" w:eastAsia="Times New Roman" w:cs="Times New Roman"/>
          <w:sz w:val="20"/>
          <w:szCs w:val="20"/>
          <w:u w:val="none"/>
        </w:rPr>
        <w:t xml:space="preserve"> indicates statistical significance at the 10%, 5%, and 1% level, respectively.</w:t>
      </w:r>
    </w:p>
    <w:p>
      <w:pPr>
        <w:pStyle w:val="26"/>
        <w:spacing w:before="240" w:after="120" w:line="240" w:lineRule="auto"/>
        <w:ind w:left="0"/>
        <w:contextualSpacing w:val="0"/>
        <w:jc w:val="center"/>
        <w:rPr>
          <w:rFonts w:ascii="Times New Roman" w:hAnsi="Times New Roman" w:eastAsia="Times New Roman" w:cs="Times New Roman"/>
          <w:sz w:val="24"/>
          <w:szCs w:val="24"/>
          <w:u w:val="none"/>
        </w:rPr>
      </w:pPr>
    </w:p>
    <w:p>
      <w:pPr>
        <w:pStyle w:val="26"/>
        <w:spacing w:before="240" w:after="120" w:line="240" w:lineRule="auto"/>
        <w:ind w:left="0"/>
        <w:contextualSpacing w:val="0"/>
        <w:jc w:val="center"/>
        <w:rPr>
          <w:rFonts w:ascii="Times New Roman" w:hAnsi="Times New Roman" w:eastAsia="Times New Roman" w:cs="Times New Roman"/>
          <w:sz w:val="24"/>
          <w:szCs w:val="24"/>
          <w:u w:val="none"/>
        </w:rPr>
        <w:sectPr>
          <w:footnotePr>
            <w:numRestart w:val="eachSect"/>
          </w:footnotePr>
          <w:pgSz w:w="11906" w:h="16838"/>
          <w:pgMar w:top="1800" w:right="1440" w:bottom="1800" w:left="1440" w:header="709" w:footer="709" w:gutter="0"/>
          <w:cols w:space="708" w:num="1"/>
          <w:docGrid w:linePitch="360" w:charSpace="0"/>
        </w:sectPr>
      </w:pPr>
    </w:p>
    <w:p>
      <w:pPr>
        <w:ind w:right="566"/>
        <w:rPr>
          <w:rFonts w:ascii="Times New Roman" w:hAnsi="Times New Roman" w:cs="Times New Roman"/>
          <w:szCs w:val="21"/>
          <w:u w:val="none"/>
        </w:rPr>
      </w:pPr>
    </w:p>
    <w:tbl>
      <w:tblPr>
        <w:tblStyle w:val="12"/>
        <w:tblW w:w="6672" w:type="dxa"/>
        <w:jc w:val="center"/>
        <w:tblInd w:w="0" w:type="dxa"/>
        <w:tblLayout w:type="fixed"/>
        <w:tblCellMar>
          <w:top w:w="0" w:type="dxa"/>
          <w:left w:w="70" w:type="dxa"/>
          <w:bottom w:w="0" w:type="dxa"/>
          <w:right w:w="70" w:type="dxa"/>
        </w:tblCellMar>
      </w:tblPr>
      <w:tblGrid>
        <w:gridCol w:w="1100"/>
        <w:gridCol w:w="640"/>
        <w:gridCol w:w="793"/>
        <w:gridCol w:w="440"/>
        <w:gridCol w:w="793"/>
        <w:gridCol w:w="440"/>
        <w:gridCol w:w="793"/>
        <w:gridCol w:w="440"/>
        <w:gridCol w:w="793"/>
        <w:gridCol w:w="440"/>
      </w:tblGrid>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1"/>
                <w:u w:val="none"/>
                <w:lang w:eastAsia="es-ES"/>
              </w:rPr>
            </w:pP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g</w:t>
            </w:r>
            <w:r>
              <w:rPr>
                <w:rFonts w:ascii="Times New Roman" w:hAnsi="Times New Roman" w:eastAsia="Times New Roman" w:cs="Times New Roman"/>
                <w:color w:val="000000"/>
                <w:sz w:val="20"/>
                <w:szCs w:val="21"/>
                <w:u w:val="none"/>
                <w:vertAlign w:val="subscript"/>
                <w:lang w:eastAsia="es-ES"/>
              </w:rPr>
              <w:t>revenue</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inflation</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r</w:t>
            </w:r>
            <w:r>
              <w:rPr>
                <w:rFonts w:ascii="Times New Roman" w:hAnsi="Times New Roman" w:eastAsia="Times New Roman" w:cs="Times New Roman"/>
                <w:color w:val="000000"/>
                <w:sz w:val="20"/>
                <w:szCs w:val="21"/>
                <w:u w:val="none"/>
                <w:vertAlign w:val="subscript"/>
                <w:lang w:eastAsia="es-ES"/>
              </w:rPr>
              <w:t>nominal</w:t>
            </w:r>
          </w:p>
        </w:tc>
        <w:tc>
          <w:tcPr>
            <w:tcW w:w="1233" w:type="dxa"/>
            <w:gridSpan w:val="2"/>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r</w:t>
            </w:r>
            <w:r>
              <w:rPr>
                <w:rFonts w:ascii="Times New Roman" w:hAnsi="Times New Roman" w:eastAsia="Times New Roman" w:cs="Times New Roman"/>
                <w:color w:val="000000"/>
                <w:sz w:val="20"/>
                <w:szCs w:val="21"/>
                <w:u w:val="none"/>
                <w:vertAlign w:val="subscript"/>
                <w:lang w:eastAsia="es-ES"/>
              </w:rPr>
              <w:t>real</w:t>
            </w: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g</w:t>
            </w:r>
            <w:r>
              <w:rPr>
                <w:rFonts w:ascii="Times New Roman" w:hAnsi="Times New Roman" w:eastAsia="Times New Roman" w:cs="Times New Roman"/>
                <w:color w:val="000000"/>
                <w:sz w:val="20"/>
                <w:szCs w:val="21"/>
                <w:u w:val="none"/>
                <w:vertAlign w:val="subscript"/>
                <w:lang w:eastAsia="es-ES"/>
              </w:rPr>
              <w:t>revenue</w:t>
            </w: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1</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0.0504</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1.2088</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0.7290</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0.8687</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2</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0.4386</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1.7818</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0.0221</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-0.0041</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3</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0.3997</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-0.0327</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-0.3565</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-0.1772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inflation</w:t>
            </w: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1</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0.0383</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0.1774</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0.1124</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0.1425</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2</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0.0462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0.0536</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0.0148</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-0.0021</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3</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0.0122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-0.0786</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0.0158</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0.0179</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r</w:t>
            </w:r>
            <w:r>
              <w:rPr>
                <w:rFonts w:ascii="Times New Roman" w:hAnsi="Times New Roman" w:eastAsia="Times New Roman" w:cs="Times New Roman"/>
                <w:color w:val="000000"/>
                <w:sz w:val="20"/>
                <w:szCs w:val="21"/>
                <w:u w:val="none"/>
                <w:vertAlign w:val="subscript"/>
                <w:lang w:eastAsia="es-ES"/>
              </w:rPr>
              <w:t>nominal</w:t>
            </w: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1</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0.0998</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0.7586</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0.9702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0.1859</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2</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0.0011</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-0.6939</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0.2502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0.3215</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3</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-0.0692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0.1871</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-0.4061</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-0.5788</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r>
      <w:tr>
        <w:tblPrEx>
          <w:tblLayout w:type="fixed"/>
          <w:tblCellMar>
            <w:top w:w="0" w:type="dxa"/>
            <w:left w:w="70" w:type="dxa"/>
            <w:bottom w:w="0" w:type="dxa"/>
            <w:right w:w="70" w:type="dxa"/>
          </w:tblCellMar>
        </w:tblPrEx>
        <w:trPr>
          <w:trHeight w:val="36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r</w:t>
            </w:r>
            <w:r>
              <w:rPr>
                <w:rFonts w:ascii="Times New Roman" w:hAnsi="Times New Roman" w:eastAsia="Times New Roman" w:cs="Times New Roman"/>
                <w:color w:val="000000"/>
                <w:sz w:val="20"/>
                <w:szCs w:val="21"/>
                <w:u w:val="none"/>
                <w:vertAlign w:val="subscript"/>
                <w:lang w:eastAsia="es-ES"/>
              </w:rPr>
              <w:t>real</w:t>
            </w: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1</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-0.1315</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-0.5468</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-0.0093</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0.7936</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2</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0.0230</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0.3142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-0.4039</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-0.4782</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lag 3</w:t>
            </w: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0.0770</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0.0043</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0.4564</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0.6036</w:t>
            </w: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constant</w:t>
            </w:r>
          </w:p>
        </w:tc>
        <w:tc>
          <w:tcPr>
            <w:tcW w:w="64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single" w:color="auto" w:sz="4" w:space="0"/>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1.15</w:t>
            </w:r>
          </w:p>
        </w:tc>
        <w:tc>
          <w:tcPr>
            <w:tcW w:w="44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single" w:color="auto" w:sz="4" w:space="0"/>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18.57</w:t>
            </w:r>
          </w:p>
        </w:tc>
        <w:tc>
          <w:tcPr>
            <w:tcW w:w="44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single" w:color="auto" w:sz="4" w:space="0"/>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75.27</w:t>
            </w:r>
          </w:p>
        </w:tc>
        <w:tc>
          <w:tcPr>
            <w:tcW w:w="44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c>
          <w:tcPr>
            <w:tcW w:w="793" w:type="dxa"/>
            <w:tcBorders>
              <w:top w:val="nil"/>
              <w:left w:val="nil"/>
              <w:bottom w:val="single" w:color="auto" w:sz="4" w:space="0"/>
              <w:right w:val="nil"/>
            </w:tcBorders>
            <w:shd w:val="clear" w:color="auto" w:fill="auto"/>
            <w:vAlign w:val="bottom"/>
          </w:tcPr>
          <w:p>
            <w:pPr>
              <w:spacing w:line="276" w:lineRule="auto"/>
              <w:jc w:val="right"/>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83.76</w:t>
            </w:r>
          </w:p>
        </w:tc>
        <w:tc>
          <w:tcPr>
            <w:tcW w:w="44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Time FE</w:t>
            </w: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Yes</w:t>
            </w:r>
          </w:p>
        </w:tc>
        <w:tc>
          <w:tcPr>
            <w:tcW w:w="44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44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44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0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Num. Obs.</w:t>
            </w:r>
          </w:p>
        </w:tc>
        <w:tc>
          <w:tcPr>
            <w:tcW w:w="6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116</w:t>
            </w:r>
          </w:p>
        </w:tc>
        <w:tc>
          <w:tcPr>
            <w:tcW w:w="44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44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44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793"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p>
        </w:tc>
        <w:tc>
          <w:tcPr>
            <w:tcW w:w="440" w:type="dxa"/>
            <w:tcBorders>
              <w:top w:val="nil"/>
              <w:left w:val="nil"/>
              <w:bottom w:val="nil"/>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p>
        </w:tc>
      </w:tr>
      <w:tr>
        <w:tblPrEx>
          <w:tblLayout w:type="fixed"/>
          <w:tblCellMar>
            <w:top w:w="0" w:type="dxa"/>
            <w:left w:w="70" w:type="dxa"/>
            <w:bottom w:w="0" w:type="dxa"/>
            <w:right w:w="70" w:type="dxa"/>
          </w:tblCellMar>
        </w:tblPrEx>
        <w:trPr>
          <w:trHeight w:val="345" w:hRule="atLeast"/>
          <w:jc w:val="center"/>
        </w:trPr>
        <w:tc>
          <w:tcPr>
            <w:tcW w:w="110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R</w:t>
            </w:r>
            <w:r>
              <w:rPr>
                <w:rFonts w:ascii="Times New Roman" w:hAnsi="Times New Roman" w:eastAsia="Times New Roman" w:cs="Times New Roman"/>
                <w:color w:val="000000"/>
                <w:sz w:val="20"/>
                <w:szCs w:val="21"/>
                <w:u w:val="none"/>
                <w:vertAlign w:val="superscript"/>
                <w:lang w:eastAsia="es-ES"/>
              </w:rPr>
              <w:t>2</w:t>
            </w:r>
          </w:p>
        </w:tc>
        <w:tc>
          <w:tcPr>
            <w:tcW w:w="64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0.3933</w:t>
            </w:r>
          </w:p>
        </w:tc>
        <w:tc>
          <w:tcPr>
            <w:tcW w:w="44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0.2410</w:t>
            </w:r>
          </w:p>
        </w:tc>
        <w:tc>
          <w:tcPr>
            <w:tcW w:w="44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0.9726</w:t>
            </w:r>
          </w:p>
        </w:tc>
        <w:tc>
          <w:tcPr>
            <w:tcW w:w="44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c>
          <w:tcPr>
            <w:tcW w:w="793"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0.9720</w:t>
            </w:r>
          </w:p>
        </w:tc>
        <w:tc>
          <w:tcPr>
            <w:tcW w:w="440" w:type="dxa"/>
            <w:tcBorders>
              <w:top w:val="nil"/>
              <w:left w:val="nil"/>
              <w:bottom w:val="single" w:color="auto" w:sz="4" w:space="0"/>
              <w:right w:val="nil"/>
            </w:tcBorders>
            <w:shd w:val="clear" w:color="auto" w:fill="auto"/>
            <w:vAlign w:val="bottom"/>
          </w:tcPr>
          <w:p>
            <w:pPr>
              <w:spacing w:line="276" w:lineRule="auto"/>
              <w:rPr>
                <w:rFonts w:ascii="Times New Roman" w:hAnsi="Times New Roman" w:eastAsia="Times New Roman" w:cs="Times New Roman"/>
                <w:color w:val="000000"/>
                <w:sz w:val="20"/>
                <w:szCs w:val="21"/>
                <w:u w:val="none"/>
                <w:lang w:eastAsia="es-ES"/>
              </w:rPr>
            </w:pPr>
            <w:r>
              <w:rPr>
                <w:rFonts w:ascii="Times New Roman" w:hAnsi="Times New Roman" w:eastAsia="Times New Roman" w:cs="Times New Roman"/>
                <w:color w:val="000000"/>
                <w:sz w:val="20"/>
                <w:szCs w:val="21"/>
                <w:u w:val="none"/>
                <w:lang w:eastAsia="es-ES"/>
              </w:rPr>
              <w:t> </w:t>
            </w:r>
          </w:p>
        </w:tc>
      </w:tr>
    </w:tbl>
    <w:p>
      <w:pPr>
        <w:spacing w:after="0" w:line="240" w:lineRule="auto"/>
        <w:ind w:left="567" w:right="567"/>
        <w:jc w:val="center"/>
        <w:rPr>
          <w:rFonts w:ascii="Times New Roman" w:hAnsi="Times New Roman" w:cs="Times New Roman"/>
          <w:b/>
          <w:sz w:val="20"/>
          <w:szCs w:val="20"/>
          <w:u w:val="none"/>
        </w:rPr>
      </w:pPr>
    </w:p>
    <w:p>
      <w:pPr>
        <w:spacing w:after="0" w:line="240" w:lineRule="auto"/>
        <w:ind w:right="84"/>
        <w:jc w:val="center"/>
        <w:rPr>
          <w:rFonts w:ascii="Times New Roman" w:hAnsi="Times New Roman" w:cs="Times New Roman"/>
          <w:sz w:val="20"/>
          <w:szCs w:val="20"/>
          <w:u w:val="none"/>
        </w:rPr>
      </w:pPr>
      <w:r>
        <w:rPr>
          <w:rFonts w:ascii="Times New Roman" w:hAnsi="Times New Roman" w:cs="Times New Roman"/>
          <w:b/>
          <w:sz w:val="20"/>
          <w:szCs w:val="20"/>
          <w:u w:val="none"/>
        </w:rPr>
        <w:t>Table A2. Multivariate VAR analysis with growth in revenues.</w:t>
      </w:r>
      <w:r>
        <w:rPr>
          <w:rFonts w:ascii="Times New Roman" w:hAnsi="Times New Roman" w:cs="Times New Roman"/>
          <w:sz w:val="20"/>
          <w:szCs w:val="20"/>
          <w:u w:val="none"/>
        </w:rPr>
        <w:t xml:space="preserve"> This table displays the joint effects of growth in revenues, inflation, nominal interest rates, and real interest rates. </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and </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indicates statistical significance at the 10%, 5%, and 1% level, respectively</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The main results from Table A2 are the following. First, there is a positive and significant relationship between the past and current growth in revenue. Specifically, we obtain that the 2 and 3 months lagged growth in returns forecasts 44.3% and 40.2% of the current growth in revenues, respectively. This result indicates that the growth in revenues is persistent, that is, when there is a period of positive (negative) growth in revenues, the probability that the revenue growth is positive (negative) in the following months is high. Second, we find that recent past inflation has a positive effect on revenue growth. This result indicates that revenues grow in periods of increasing prices in the economy. We also find that the revenue growth in the recent past is positively related to current inflation, which corroborates the persistence in revenue growth. Third, we do not find any significant effect of past real nor nominal interest rates on revenue growth. However, we do find a positive relationship between the revenue growth in the past month and the current nominal and real interest rates. This result indicates that revenue growth and interest rates are positively related, but the positive (negative) growth in revenues anticipates the increase (decrease) in interest rates. The lagged effects that we obtain from these results are consistent with the macroeconomic framework and the monetary policy transmission channels that we discussed in section 2. In particular, notice that the growth in revenues and the increase in inflation lead the increase in nominal and real interest rates.</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bookmarkStart w:id="3" w:name="_GoBack"/>
      <w:bookmarkEnd w:id="3"/>
    </w:p>
    <w:p>
      <w:pPr>
        <w:rPr>
          <w:sz w:val="18"/>
          <w:szCs w:val="18"/>
          <w:u w:val="none"/>
        </w:rPr>
      </w:pPr>
    </w:p>
    <w:p>
      <w:pPr>
        <w:ind w:right="-1"/>
        <w:jc w:val="center"/>
        <w:rPr>
          <w:u w:val="none"/>
        </w:rPr>
      </w:pPr>
      <w:r>
        <w:rPr>
          <w:u w:val="none"/>
          <w:lang w:val="es-ES" w:eastAsia="es-ES"/>
        </w:rPr>
        <w:drawing>
          <wp:inline distT="0" distB="0" distL="0" distR="0">
            <wp:extent cx="2671445" cy="1917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 r="1368" b="1552"/>
                    <a:stretch>
                      <a:fillRect/>
                    </a:stretch>
                  </pic:blipFill>
                  <pic:spPr>
                    <a:xfrm>
                      <a:off x="0" y="0"/>
                      <a:ext cx="2677114" cy="1921573"/>
                    </a:xfrm>
                    <a:prstGeom prst="rect">
                      <a:avLst/>
                    </a:prstGeom>
                    <a:noFill/>
                    <a:ln>
                      <a:noFill/>
                    </a:ln>
                  </pic:spPr>
                </pic:pic>
              </a:graphicData>
            </a:graphic>
          </wp:inline>
        </w:drawing>
      </w:r>
      <w:r>
        <w:rPr>
          <w:u w:val="none"/>
        </w:rPr>
        <w:t xml:space="preserve"> </w:t>
      </w:r>
      <w:r>
        <w:rPr>
          <w:u w:val="none"/>
          <w:lang w:val="es-ES" w:eastAsia="es-ES"/>
        </w:rPr>
        <w:drawing>
          <wp:inline distT="0" distB="0" distL="0" distR="0">
            <wp:extent cx="2671445" cy="1878330"/>
            <wp:effectExtent l="0" t="0" r="0" b="762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t="2532" r="679"/>
                    <a:stretch>
                      <a:fillRect/>
                    </a:stretch>
                  </pic:blipFill>
                  <pic:spPr>
                    <a:xfrm>
                      <a:off x="0" y="0"/>
                      <a:ext cx="2666341" cy="1874768"/>
                    </a:xfrm>
                    <a:prstGeom prst="rect">
                      <a:avLst/>
                    </a:prstGeom>
                    <a:noFill/>
                    <a:ln>
                      <a:noFill/>
                    </a:ln>
                  </pic:spPr>
                </pic:pic>
              </a:graphicData>
            </a:graphic>
          </wp:inline>
        </w:drawing>
      </w:r>
    </w:p>
    <w:p>
      <w:pPr>
        <w:spacing w:line="240" w:lineRule="auto"/>
        <w:ind w:right="-1"/>
        <w:jc w:val="center"/>
        <w:rPr>
          <w:rFonts w:ascii="Times New Roman" w:hAnsi="Times New Roman" w:cs="Times New Roman"/>
          <w:sz w:val="20"/>
          <w:szCs w:val="20"/>
          <w:u w:val="none"/>
        </w:rPr>
      </w:pPr>
      <w:r>
        <w:rPr>
          <w:rFonts w:ascii="Times New Roman" w:hAnsi="Times New Roman" w:cs="Times New Roman"/>
          <w:b/>
          <w:sz w:val="20"/>
          <w:szCs w:val="20"/>
          <w:u w:val="none"/>
        </w:rPr>
        <w:t xml:space="preserve">Figure 3. </w:t>
      </w:r>
      <w:r>
        <w:rPr>
          <w:rFonts w:ascii="Times New Roman" w:hAnsi="Times New Roman" w:cs="Times New Roman"/>
          <w:sz w:val="20"/>
          <w:szCs w:val="20"/>
          <w:u w:val="none"/>
        </w:rPr>
        <w:t>Impulse-response functions. This figure displays impulse-response functions with the responses of the highway 407 ETR revenue growth over 12 months to a one standard deviation shock to inflation and the nominal interest rate.</w:t>
      </w:r>
    </w:p>
    <w:p>
      <w:pPr>
        <w:spacing w:line="276" w:lineRule="auto"/>
        <w:ind w:right="-1"/>
        <w:rPr>
          <w:rFonts w:ascii="Times New Roman" w:hAnsi="Times New Roman" w:eastAsia="Times New Roman" w:cs="Times New Roman"/>
          <w:szCs w:val="21"/>
          <w:u w:val="none"/>
        </w:rPr>
      </w:pPr>
      <w:r>
        <w:rPr>
          <w:rFonts w:ascii="Times New Roman" w:hAnsi="Times New Roman" w:eastAsia="Times New Roman" w:cs="Times New Roman"/>
          <w:szCs w:val="21"/>
          <w:u w:val="none"/>
        </w:rPr>
        <w:t>Moreover, VAR models can be used to estimate the reaction of a particular endogenous variable to a shock in another endogenous variable. Figure 3 displays impulse-response graphs with the response of the highway 407 ETR revenue growth over 12 months to a one standard deviation shock to inflation and the nominal interest rate. It also shows the 95% bootstrapped confidence intervals (CI) based on 1000 simulations. These results confirm some of our findings from the previous VAR analysis. First, revenue is positively related to inflation. Second, nominal interest rates do not predict growth in revenue. These shocks are persistent.</w:t>
      </w:r>
    </w:p>
    <w:p>
      <w:pPr>
        <w:spacing w:line="276" w:lineRule="auto"/>
        <w:ind w:right="-1"/>
        <w:rPr>
          <w:rFonts w:ascii="Times New Roman" w:hAnsi="Times New Roman" w:cs="Times New Roman"/>
          <w:szCs w:val="21"/>
          <w:u w:val="none"/>
        </w:rPr>
      </w:pPr>
      <w:r>
        <w:rPr>
          <w:rFonts w:ascii="Times New Roman" w:hAnsi="Times New Roman" w:eastAsia="Times New Roman" w:cs="Times New Roman"/>
          <w:szCs w:val="21"/>
          <w:u w:val="none"/>
        </w:rPr>
        <w:t xml:space="preserve">Specifically, the increase in revenue growth in the highway 407 ETR from a shock of one standard deviation in inflation is still present six months after the shock. </w:t>
      </w:r>
    </w:p>
    <w:p>
      <w:pPr>
        <w:spacing w:line="276" w:lineRule="auto"/>
        <w:ind w:right="-1"/>
        <w:rPr>
          <w:szCs w:val="21"/>
          <w:u w:val="none"/>
        </w:rPr>
      </w:pPr>
      <w:r>
        <w:rPr>
          <w:rFonts w:ascii="Times New Roman" w:hAnsi="Times New Roman" w:eastAsia="Times New Roman" w:cs="Times New Roman"/>
          <w:szCs w:val="21"/>
          <w:u w:val="none"/>
        </w:rPr>
        <w:t xml:space="preserve">Figure 4 shows how economic activity affects the value of infrastructure assets of category 5 and summarizes the channels that drive the value of these assets. The economic intuition goes as follows. In a period of expansion of the economy the real GDP increases, which increases the output gap and, equivalently, increases demand. Because the supply of most assets, goods and services is inelastic (or limited in some corridors, for example, in the Toronto 401/407 corridor), prices go up. In the aggregate, inflation in the economy goes up. The central bank reacts to this raise in inflation by increasing the short-term nominal interest rate to meet its target real interest rate. </w:t>
      </w:r>
    </w:p>
    <w:p>
      <w:pPr>
        <w:jc w:val="center"/>
        <w:rPr>
          <w:rFonts w:eastAsiaTheme="minorHAnsi"/>
          <w:u w:val="none"/>
          <w:lang w:eastAsia="en-US"/>
        </w:rPr>
      </w:pPr>
      <w:r>
        <w:rPr>
          <w:rFonts w:ascii="Times New Roman" w:hAnsi="Times New Roman" w:cs="Times New Roman"/>
          <w:u w:val="none"/>
          <w:lang w:val="es-ES" w:eastAsia="es-ES"/>
        </w:rPr>
        <w:drawing>
          <wp:inline distT="0" distB="0" distL="0" distR="0">
            <wp:extent cx="4701540" cy="228409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06383" cy="2286919"/>
                    </a:xfrm>
                    <a:prstGeom prst="rect">
                      <a:avLst/>
                    </a:prstGeom>
                    <a:noFill/>
                    <a:ln>
                      <a:noFill/>
                    </a:ln>
                  </pic:spPr>
                </pic:pic>
              </a:graphicData>
            </a:graphic>
          </wp:inline>
        </w:drawing>
      </w:r>
    </w:p>
    <w:p>
      <w:pPr>
        <w:spacing w:line="240" w:lineRule="auto"/>
        <w:jc w:val="center"/>
        <w:rPr>
          <w:rFonts w:ascii="Times New Roman" w:hAnsi="Times New Roman" w:eastAsia="宋体" w:cs="Times New Roman"/>
          <w:sz w:val="20"/>
          <w:szCs w:val="20"/>
          <w:u w:val="none"/>
        </w:rPr>
      </w:pPr>
      <w:r>
        <w:rPr>
          <w:rFonts w:ascii="Times New Roman" w:hAnsi="Times New Roman" w:cs="Times New Roman"/>
          <w:b/>
          <w:sz w:val="20"/>
          <w:szCs w:val="20"/>
          <w:u w:val="none"/>
        </w:rPr>
        <w:t>Figure 4.</w:t>
      </w:r>
      <w:r>
        <w:rPr>
          <w:rFonts w:ascii="Times New Roman" w:hAnsi="Times New Roman" w:cs="Times New Roman"/>
          <w:sz w:val="20"/>
          <w:szCs w:val="20"/>
          <w:u w:val="none"/>
        </w:rPr>
        <w:t xml:space="preserve"> Channels that drive the value of infrastructure assets of category</w:t>
      </w:r>
      <w:r>
        <w:rPr>
          <w:rFonts w:ascii="Times New Roman" w:hAnsi="Times New Roman" w:cs="Times New Roman"/>
          <w:b/>
          <w:sz w:val="20"/>
          <w:szCs w:val="20"/>
          <w:u w:val="none"/>
        </w:rPr>
        <w:t xml:space="preserve"> 5.</w:t>
      </w:r>
      <w:r>
        <w:rPr>
          <w:rFonts w:ascii="Times New Roman" w:hAnsi="Times New Roman" w:cs="Times New Roman"/>
          <w:sz w:val="20"/>
          <w:szCs w:val="20"/>
          <w:u w:val="none"/>
        </w:rPr>
        <w:t xml:space="preserve"> This figure shows how economic activity affects the value of infrastructure assets of category 5 and exhibits the channels that drive the value of this type of assets</w:t>
      </w:r>
      <w:r>
        <w:rPr>
          <w:rFonts w:ascii="Times New Roman" w:hAnsi="Times New Roman" w:eastAsia="宋体" w:cs="Times New Roman"/>
          <w:sz w:val="20"/>
          <w:szCs w:val="20"/>
          <w:u w:val="none"/>
        </w:rPr>
        <w:t>.</w:t>
      </w:r>
    </w:p>
    <w:p>
      <w:pPr>
        <w:spacing w:after="0" w:line="276" w:lineRule="auto"/>
        <w:rPr>
          <w:rFonts w:ascii="Times New Roman" w:hAnsi="Times New Roman" w:eastAsia="Times New Roman" w:cs="Times New Roman"/>
          <w:szCs w:val="21"/>
          <w:u w:val="none"/>
        </w:rPr>
      </w:pPr>
    </w:p>
    <w:p>
      <w:pPr>
        <w:spacing w:line="276" w:lineRule="auto"/>
        <w:rPr>
          <w:rFonts w:ascii="Times New Roman" w:hAnsi="Times New Roman" w:eastAsia="Times New Roman" w:cs="Times New Roman"/>
          <w:szCs w:val="21"/>
          <w:u w:val="none"/>
        </w:rPr>
      </w:pPr>
      <w:r>
        <w:rPr>
          <w:rFonts w:ascii="Times New Roman" w:hAnsi="Times New Roman" w:eastAsia="Times New Roman" w:cs="Times New Roman"/>
          <w:szCs w:val="21"/>
          <w:u w:val="none"/>
        </w:rPr>
        <w:t>How does this affect infrastructure assets of category 5</w:t>
      </w:r>
      <w:r>
        <w:rPr>
          <w:rFonts w:hint="eastAsia" w:ascii="Times New Roman" w:hAnsi="Times New Roman" w:eastAsia="宋体" w:cs="Times New Roman"/>
          <w:szCs w:val="21"/>
          <w:u w:val="none"/>
          <w:lang w:val="en-US" w:eastAsia="zh-CN"/>
        </w:rPr>
        <w:t>.</w:t>
      </w:r>
      <w:r>
        <w:rPr>
          <w:rFonts w:ascii="Times New Roman" w:hAnsi="Times New Roman" w:eastAsia="Times New Roman" w:cs="Times New Roman"/>
          <w:szCs w:val="21"/>
          <w:u w:val="none"/>
        </w:rPr>
        <w:t xml:space="preserve"> An increase in real GDP in the area increases traffic (i.e., vehicle kilometers traveled, VKT). Moreover, an increase in prices in the economy allows the operator to increase in tariffs because users present a higher willingness to pay.</w:t>
      </w:r>
      <w:r>
        <w:rPr>
          <w:rFonts w:hint="eastAsia" w:ascii="Times New Roman" w:hAnsi="Times New Roman" w:eastAsia="宋体" w:cs="Times New Roman"/>
          <w:szCs w:val="21"/>
          <w:u w:val="none"/>
          <w:lang w:val="en-US" w:eastAsia="zh-CN"/>
        </w:rPr>
        <w:t xml:space="preserve"> </w:t>
      </w:r>
      <w:r>
        <w:rPr>
          <w:rFonts w:hint="eastAsia" w:ascii="Times New Roman" w:hAnsi="Times New Roman" w:eastAsia="Times New Roman" w:cs="Times New Roman"/>
          <w:szCs w:val="21"/>
          <w:u w:val="none"/>
        </w:rPr>
        <w:t>See Appendix B for an analysis of the relationship of local GDP on traffic, tariffs, and revenues for the 407 ETR.</w:t>
      </w:r>
      <w:r>
        <w:rPr>
          <w:rFonts w:ascii="Times New Roman" w:hAnsi="Times New Roman" w:eastAsia="Times New Roman" w:cs="Times New Roman"/>
          <w:szCs w:val="21"/>
          <w:u w:val="none"/>
        </w:rPr>
        <w:t xml:space="preserve">Both the increase in traffic and in tariffs increase the cash flows generated by the infrastructure assets and </w:t>
      </w:r>
      <w:r>
        <w:rPr>
          <w:rFonts w:ascii="Times New Roman" w:hAnsi="Times New Roman" w:eastAsia="Times New Roman" w:cs="Times New Roman"/>
          <w:i/>
          <w:szCs w:val="21"/>
          <w:u w:val="none"/>
        </w:rPr>
        <w:t>ceteris paribus</w:t>
      </w:r>
      <w:r>
        <w:rPr>
          <w:rFonts w:ascii="Times New Roman" w:hAnsi="Times New Roman" w:eastAsia="Times New Roman" w:cs="Times New Roman"/>
          <w:szCs w:val="21"/>
          <w:u w:val="none"/>
        </w:rPr>
        <w:t xml:space="preserve"> it increases its value. However, an increase in nominal and real interest rates increases the exchange rate and the cost of capital. Therefore, an increase in the cost of capital increases the discount rate and </w:t>
      </w:r>
      <w:r>
        <w:rPr>
          <w:rFonts w:ascii="Times New Roman" w:hAnsi="Times New Roman" w:eastAsia="Times New Roman" w:cs="Times New Roman"/>
          <w:i/>
          <w:szCs w:val="21"/>
          <w:u w:val="none"/>
        </w:rPr>
        <w:t xml:space="preserve">ceteris paribus </w:t>
      </w:r>
      <w:r>
        <w:rPr>
          <w:rFonts w:ascii="Times New Roman" w:hAnsi="Times New Roman" w:eastAsia="Times New Roman" w:cs="Times New Roman"/>
          <w:szCs w:val="21"/>
          <w:u w:val="none"/>
        </w:rPr>
        <w:t xml:space="preserve">it decreases the value of the infrastructure asset. </w:t>
      </w:r>
    </w:p>
    <w:p>
      <w:pPr>
        <w:rPr>
          <w:rFonts w:ascii="Times New Roman" w:hAnsi="Times New Roman" w:cs="Times New Roman"/>
          <w:b/>
          <w:bCs/>
          <w:szCs w:val="21"/>
          <w:u w:val="none"/>
        </w:rPr>
      </w:pPr>
      <w:r>
        <w:rPr>
          <w:rFonts w:ascii="Times New Roman" w:hAnsi="Times New Roman" w:cs="Times New Roman"/>
          <w:b/>
          <w:bCs/>
          <w:szCs w:val="21"/>
          <w:u w:val="none"/>
        </w:rPr>
        <w:t>Appendix B. Analysis of the relationship of local economic activity on traffic, tariffs, and revenues</w:t>
      </w:r>
    </w:p>
    <w:p>
      <w:pPr>
        <w:rPr>
          <w:rFonts w:ascii="Times New Roman" w:hAnsi="Times New Roman" w:eastAsia="Times New Roman" w:cs="Times New Roman"/>
          <w:szCs w:val="21"/>
          <w:u w:val="none"/>
        </w:rPr>
      </w:pPr>
      <w:r>
        <w:rPr>
          <w:rFonts w:ascii="Times New Roman" w:hAnsi="Times New Roman" w:eastAsia="Times New Roman" w:cs="Times New Roman"/>
          <w:szCs w:val="21"/>
          <w:u w:val="none"/>
        </w:rPr>
        <w:t xml:space="preserve">In this appendix, we further analyze the relationship of local GDP and the performance of the infrastructure asset. We study the relationship between local economic activity measured in terms of employment growth in the Toronto area and the following three measures: (1) growth in revenues; (2) growth in traffic in terms of VKT; and (3) growth in tariffs. Table B1 exhibits the results of this analysis and shows that there is a positive relationship among GDP growth (measured in terms of employment growth in the Toronto area), growth in traffic, and growth in tariffs. </w:t>
      </w:r>
    </w:p>
    <w:tbl>
      <w:tblPr>
        <w:tblStyle w:val="12"/>
        <w:tblW w:w="8738" w:type="dxa"/>
        <w:jc w:val="center"/>
        <w:tblInd w:w="0" w:type="dxa"/>
        <w:tblLayout w:type="fixed"/>
        <w:tblCellMar>
          <w:top w:w="0" w:type="dxa"/>
          <w:left w:w="70" w:type="dxa"/>
          <w:bottom w:w="0" w:type="dxa"/>
          <w:right w:w="70" w:type="dxa"/>
        </w:tblCellMar>
      </w:tblPr>
      <w:tblGrid>
        <w:gridCol w:w="1151"/>
        <w:gridCol w:w="880"/>
        <w:gridCol w:w="890"/>
        <w:gridCol w:w="482"/>
        <w:gridCol w:w="190"/>
        <w:gridCol w:w="880"/>
        <w:gridCol w:w="190"/>
        <w:gridCol w:w="890"/>
        <w:gridCol w:w="440"/>
        <w:gridCol w:w="160"/>
        <w:gridCol w:w="815"/>
        <w:gridCol w:w="440"/>
        <w:gridCol w:w="890"/>
        <w:gridCol w:w="440"/>
      </w:tblGrid>
      <w:tr>
        <w:tblPrEx>
          <w:tblLayout w:type="fixed"/>
          <w:tblCellMar>
            <w:top w:w="0" w:type="dxa"/>
            <w:left w:w="70" w:type="dxa"/>
            <w:bottom w:w="0" w:type="dxa"/>
            <w:right w:w="70" w:type="dxa"/>
          </w:tblCellMar>
        </w:tblPrEx>
        <w:trPr>
          <w:trHeight w:val="360" w:hRule="atLeast"/>
          <w:jc w:val="center"/>
        </w:trPr>
        <w:tc>
          <w:tcPr>
            <w:tcW w:w="1151" w:type="dxa"/>
            <w:tcBorders>
              <w:top w:val="nil"/>
              <w:left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1770" w:type="dxa"/>
            <w:gridSpan w:val="2"/>
            <w:tcBorders>
              <w:top w:val="nil"/>
              <w:left w:val="nil"/>
              <w:bottom w:val="single" w:color="auto" w:sz="4" w:space="0"/>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w:t>
            </w:r>
          </w:p>
        </w:tc>
        <w:tc>
          <w:tcPr>
            <w:tcW w:w="482" w:type="dxa"/>
            <w:tcBorders>
              <w:top w:val="nil"/>
              <w:left w:val="nil"/>
              <w:bottom w:val="single" w:color="auto" w:sz="4" w:space="0"/>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190" w:type="dxa"/>
            <w:tcBorders>
              <w:top w:val="nil"/>
              <w:left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2400" w:type="dxa"/>
            <w:gridSpan w:val="4"/>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[2]</w:t>
            </w:r>
          </w:p>
        </w:tc>
        <w:tc>
          <w:tcPr>
            <w:tcW w:w="16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2585" w:type="dxa"/>
            <w:gridSpan w:val="4"/>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[3]</w:t>
            </w:r>
          </w:p>
        </w:tc>
      </w:tr>
      <w:tr>
        <w:tblPrEx>
          <w:tblLayout w:type="fixed"/>
          <w:tblCellMar>
            <w:top w:w="0" w:type="dxa"/>
            <w:left w:w="70" w:type="dxa"/>
            <w:bottom w:w="0" w:type="dxa"/>
            <w:right w:w="70" w:type="dxa"/>
          </w:tblCellMar>
        </w:tblPrEx>
        <w:trPr>
          <w:trHeight w:val="360" w:hRule="atLeast"/>
          <w:jc w:val="center"/>
        </w:trPr>
        <w:tc>
          <w:tcPr>
            <w:tcW w:w="1151" w:type="dxa"/>
            <w:tcBorders>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880" w:type="dxa"/>
            <w:tcBorders>
              <w:top w:val="nil"/>
              <w:left w:val="nil"/>
              <w:bottom w:val="single" w:color="auto" w:sz="4" w:space="0"/>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revenue</w:t>
            </w:r>
          </w:p>
        </w:tc>
        <w:tc>
          <w:tcPr>
            <w:tcW w:w="890" w:type="dxa"/>
            <w:tcBorders>
              <w:top w:val="nil"/>
              <w:left w:val="nil"/>
              <w:bottom w:val="single" w:color="auto" w:sz="4" w:space="0"/>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employment</w:t>
            </w:r>
          </w:p>
        </w:tc>
        <w:tc>
          <w:tcPr>
            <w:tcW w:w="482" w:type="dxa"/>
            <w:tcBorders>
              <w:top w:val="nil"/>
              <w:left w:val="nil"/>
              <w:bottom w:val="single" w:color="auto" w:sz="4" w:space="0"/>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190" w:type="dxa"/>
            <w:tcBorders>
              <w:left w:val="nil"/>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88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VKT</w:t>
            </w:r>
          </w:p>
        </w:tc>
        <w:tc>
          <w:tcPr>
            <w:tcW w:w="19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89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employment</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16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15"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Tariff</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89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employment</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r>
      <w:tr>
        <w:tblPrEx>
          <w:tblLayout w:type="fixed"/>
          <w:tblCellMar>
            <w:top w:w="0" w:type="dxa"/>
            <w:left w:w="70" w:type="dxa"/>
            <w:bottom w:w="0" w:type="dxa"/>
            <w:right w:w="70" w:type="dxa"/>
          </w:tblCellMar>
        </w:tblPrEx>
        <w:trPr>
          <w:trHeight w:val="360" w:hRule="atLeast"/>
          <w:jc w:val="center"/>
        </w:trPr>
        <w:tc>
          <w:tcPr>
            <w:tcW w:w="1151"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revenue</w:t>
            </w:r>
            <w:r>
              <w:rPr>
                <w:rFonts w:ascii="Times New Roman" w:hAnsi="Times New Roman" w:eastAsia="Times New Roman" w:cs="Times New Roman"/>
                <w:color w:val="000000"/>
                <w:sz w:val="20"/>
                <w:szCs w:val="20"/>
                <w:u w:val="none"/>
                <w:lang w:eastAsia="es-ES"/>
              </w:rPr>
              <w:t>(lag 1)</w:t>
            </w:r>
          </w:p>
        </w:tc>
        <w:tc>
          <w:tcPr>
            <w:tcW w:w="88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0.1058</w:t>
            </w:r>
          </w:p>
        </w:tc>
        <w:tc>
          <w:tcPr>
            <w:tcW w:w="890" w:type="dxa"/>
            <w:tcBorders>
              <w:top w:val="nil"/>
              <w:left w:val="nil"/>
              <w:bottom w:val="nil"/>
              <w:right w:val="nil"/>
            </w:tcBorders>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0.0224</w:t>
            </w:r>
          </w:p>
        </w:tc>
        <w:tc>
          <w:tcPr>
            <w:tcW w:w="482" w:type="dxa"/>
            <w:tcBorders>
              <w:left w:val="nil"/>
              <w:bottom w:val="nil"/>
              <w:right w:val="nil"/>
            </w:tcBorders>
            <w:vAlign w:val="bottom"/>
          </w:tcPr>
          <w:p>
            <w:pPr>
              <w:ind w:left="-78"/>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190" w:type="dxa"/>
            <w:tcBorders>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8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left"/>
              <w:rPr>
                <w:rFonts w:ascii="Times New Roman" w:hAnsi="Times New Roman" w:eastAsia="Times New Roman" w:cs="Times New Roman"/>
                <w:color w:val="000000"/>
                <w:sz w:val="20"/>
                <w:szCs w:val="20"/>
                <w:u w:val="none"/>
                <w:lang w:eastAsia="es-ES"/>
              </w:rPr>
            </w:pP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60" w:hRule="atLeast"/>
          <w:jc w:val="center"/>
        </w:trPr>
        <w:tc>
          <w:tcPr>
            <w:tcW w:w="1151"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VKT</w:t>
            </w:r>
          </w:p>
        </w:tc>
        <w:tc>
          <w:tcPr>
            <w:tcW w:w="88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vAlign w:val="bottom"/>
          </w:tcPr>
          <w:p>
            <w:pPr>
              <w:jc w:val="right"/>
              <w:rPr>
                <w:rFonts w:ascii="Times New Roman" w:hAnsi="Times New Roman" w:eastAsia="Times New Roman" w:cs="Times New Roman"/>
                <w:color w:val="000000"/>
                <w:sz w:val="20"/>
                <w:szCs w:val="20"/>
                <w:u w:val="none"/>
                <w:lang w:eastAsia="es-ES"/>
              </w:rPr>
            </w:pPr>
          </w:p>
        </w:tc>
        <w:tc>
          <w:tcPr>
            <w:tcW w:w="482" w:type="dxa"/>
            <w:tcBorders>
              <w:top w:val="nil"/>
              <w:left w:val="nil"/>
              <w:bottom w:val="nil"/>
              <w:right w:val="nil"/>
            </w:tcBorders>
            <w:vAlign w:val="bottom"/>
          </w:tcPr>
          <w:p>
            <w:pPr>
              <w:ind w:left="-78"/>
              <w:jc w:val="left"/>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8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0.0262</w:t>
            </w:r>
          </w:p>
        </w:tc>
        <w:tc>
          <w:tcPr>
            <w:tcW w:w="1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0.0221</w:t>
            </w:r>
          </w:p>
        </w:tc>
        <w:tc>
          <w:tcPr>
            <w:tcW w:w="440" w:type="dxa"/>
            <w:tcBorders>
              <w:top w:val="nil"/>
              <w:left w:val="nil"/>
              <w:bottom w:val="nil"/>
              <w:right w:val="nil"/>
            </w:tcBorders>
            <w:shd w:val="clear" w:color="auto" w:fill="auto"/>
            <w:vAlign w:val="bottom"/>
          </w:tcPr>
          <w:p>
            <w:pPr>
              <w:ind w:left="-92"/>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60" w:hRule="atLeast"/>
          <w:jc w:val="center"/>
        </w:trPr>
        <w:tc>
          <w:tcPr>
            <w:tcW w:w="1151"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Tariff</w:t>
            </w:r>
          </w:p>
        </w:tc>
        <w:tc>
          <w:tcPr>
            <w:tcW w:w="88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vAlign w:val="bottom"/>
          </w:tcPr>
          <w:p>
            <w:pPr>
              <w:jc w:val="right"/>
              <w:rPr>
                <w:rFonts w:ascii="Times New Roman" w:hAnsi="Times New Roman" w:eastAsia="Times New Roman" w:cs="Times New Roman"/>
                <w:color w:val="000000"/>
                <w:sz w:val="20"/>
                <w:szCs w:val="20"/>
                <w:u w:val="none"/>
                <w:lang w:eastAsia="es-ES"/>
              </w:rPr>
            </w:pPr>
          </w:p>
        </w:tc>
        <w:tc>
          <w:tcPr>
            <w:tcW w:w="482" w:type="dxa"/>
            <w:tcBorders>
              <w:top w:val="nil"/>
              <w:left w:val="nil"/>
              <w:bottom w:val="nil"/>
              <w:right w:val="nil"/>
            </w:tcBorders>
            <w:vAlign w:val="bottom"/>
          </w:tcPr>
          <w:p>
            <w:pPr>
              <w:ind w:left="-78"/>
              <w:jc w:val="left"/>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8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ind w:left="-92"/>
              <w:jc w:val="left"/>
              <w:rPr>
                <w:rFonts w:ascii="Times New Roman" w:hAnsi="Times New Roman" w:eastAsia="Times New Roman" w:cs="Times New Roman"/>
                <w:color w:val="000000"/>
                <w:sz w:val="20"/>
                <w:szCs w:val="20"/>
                <w:u w:val="none"/>
                <w:lang w:eastAsia="es-ES"/>
              </w:rPr>
            </w:pP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0.7853</w:t>
            </w:r>
          </w:p>
        </w:tc>
        <w:tc>
          <w:tcPr>
            <w:tcW w:w="440" w:type="dxa"/>
            <w:tcBorders>
              <w:top w:val="nil"/>
              <w:left w:val="nil"/>
              <w:bottom w:val="nil"/>
              <w:right w:val="nil"/>
            </w:tcBorders>
            <w:shd w:val="clear" w:color="auto" w:fill="auto"/>
            <w:vAlign w:val="bottom"/>
          </w:tcPr>
          <w:p>
            <w:pPr>
              <w:ind w:left="-78"/>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0.0547</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60" w:hRule="atLeast"/>
          <w:jc w:val="center"/>
        </w:trPr>
        <w:tc>
          <w:tcPr>
            <w:tcW w:w="1151"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w:t>
            </w:r>
            <w:r>
              <w:rPr>
                <w:rFonts w:ascii="Times New Roman" w:hAnsi="Times New Roman" w:eastAsia="Times New Roman" w:cs="Times New Roman"/>
                <w:color w:val="000000"/>
                <w:sz w:val="20"/>
                <w:szCs w:val="20"/>
                <w:u w:val="none"/>
                <w:vertAlign w:val="subscript"/>
                <w:lang w:eastAsia="es-ES"/>
              </w:rPr>
              <w:t>employment</w:t>
            </w:r>
            <w:r>
              <w:rPr>
                <w:rFonts w:ascii="Times New Roman" w:hAnsi="Times New Roman" w:eastAsia="Times New Roman" w:cs="Times New Roman"/>
                <w:color w:val="000000"/>
                <w:sz w:val="20"/>
                <w:szCs w:val="20"/>
                <w:u w:val="none"/>
                <w:lang w:eastAsia="es-ES"/>
              </w:rPr>
              <w:t>(lag 1)</w:t>
            </w:r>
          </w:p>
        </w:tc>
        <w:tc>
          <w:tcPr>
            <w:tcW w:w="88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0.2107</w:t>
            </w:r>
          </w:p>
        </w:tc>
        <w:tc>
          <w:tcPr>
            <w:tcW w:w="890" w:type="dxa"/>
            <w:tcBorders>
              <w:top w:val="nil"/>
              <w:left w:val="nil"/>
              <w:bottom w:val="nil"/>
              <w:right w:val="nil"/>
            </w:tcBorders>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0.5286</w:t>
            </w:r>
          </w:p>
        </w:tc>
        <w:tc>
          <w:tcPr>
            <w:tcW w:w="482" w:type="dxa"/>
            <w:tcBorders>
              <w:top w:val="nil"/>
              <w:left w:val="nil"/>
              <w:bottom w:val="nil"/>
              <w:right w:val="nil"/>
            </w:tcBorders>
            <w:vAlign w:val="bottom"/>
          </w:tcPr>
          <w:p>
            <w:pPr>
              <w:ind w:left="-78"/>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19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8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1.5908</w:t>
            </w:r>
          </w:p>
        </w:tc>
        <w:tc>
          <w:tcPr>
            <w:tcW w:w="1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0.4947</w:t>
            </w:r>
          </w:p>
        </w:tc>
        <w:tc>
          <w:tcPr>
            <w:tcW w:w="440" w:type="dxa"/>
            <w:tcBorders>
              <w:top w:val="nil"/>
              <w:left w:val="nil"/>
              <w:bottom w:val="nil"/>
              <w:right w:val="nil"/>
            </w:tcBorders>
            <w:shd w:val="clear" w:color="auto" w:fill="auto"/>
            <w:vAlign w:val="bottom"/>
          </w:tcPr>
          <w:p>
            <w:pPr>
              <w:ind w:left="-92"/>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0.2530</w:t>
            </w:r>
          </w:p>
        </w:tc>
        <w:tc>
          <w:tcPr>
            <w:tcW w:w="440" w:type="dxa"/>
            <w:tcBorders>
              <w:top w:val="nil"/>
              <w:left w:val="nil"/>
              <w:bottom w:val="nil"/>
              <w:right w:val="nil"/>
            </w:tcBorders>
            <w:shd w:val="clear" w:color="auto" w:fill="auto"/>
            <w:vAlign w:val="bottom"/>
          </w:tcPr>
          <w:p>
            <w:pPr>
              <w:ind w:left="-78"/>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0.5678</w:t>
            </w:r>
          </w:p>
        </w:tc>
        <w:tc>
          <w:tcPr>
            <w:tcW w:w="440" w:type="dxa"/>
            <w:tcBorders>
              <w:top w:val="nil"/>
              <w:left w:val="nil"/>
              <w:bottom w:val="nil"/>
              <w:right w:val="nil"/>
            </w:tcBorders>
            <w:shd w:val="clear" w:color="auto" w:fill="auto"/>
            <w:vAlign w:val="bottom"/>
          </w:tcPr>
          <w:p>
            <w:pPr>
              <w:ind w:left="-78"/>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r>
      <w:tr>
        <w:tblPrEx>
          <w:tblLayout w:type="fixed"/>
          <w:tblCellMar>
            <w:top w:w="0" w:type="dxa"/>
            <w:left w:w="70" w:type="dxa"/>
            <w:bottom w:w="0" w:type="dxa"/>
            <w:right w:w="70" w:type="dxa"/>
          </w:tblCellMar>
        </w:tblPrEx>
        <w:trPr>
          <w:trHeight w:val="300" w:hRule="atLeast"/>
          <w:jc w:val="center"/>
        </w:trPr>
        <w:tc>
          <w:tcPr>
            <w:tcW w:w="1151"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constant</w:t>
            </w:r>
          </w:p>
        </w:tc>
        <w:tc>
          <w:tcPr>
            <w:tcW w:w="88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-1.3827</w:t>
            </w:r>
          </w:p>
        </w:tc>
        <w:tc>
          <w:tcPr>
            <w:tcW w:w="890" w:type="dxa"/>
            <w:tcBorders>
              <w:top w:val="nil"/>
              <w:left w:val="nil"/>
              <w:bottom w:val="nil"/>
              <w:right w:val="nil"/>
            </w:tcBorders>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0.1137</w:t>
            </w:r>
          </w:p>
        </w:tc>
        <w:tc>
          <w:tcPr>
            <w:tcW w:w="482" w:type="dxa"/>
            <w:tcBorders>
              <w:top w:val="nil"/>
              <w:left w:val="nil"/>
              <w:bottom w:val="nil"/>
              <w:right w:val="nil"/>
            </w:tcBorders>
            <w:vAlign w:val="bottom"/>
          </w:tcPr>
          <w:p>
            <w:pPr>
              <w:ind w:left="-78"/>
              <w:jc w:val="left"/>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8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-0.3259</w:t>
            </w:r>
          </w:p>
        </w:tc>
        <w:tc>
          <w:tcPr>
            <w:tcW w:w="1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0.0960</w:t>
            </w:r>
          </w:p>
        </w:tc>
        <w:tc>
          <w:tcPr>
            <w:tcW w:w="440" w:type="dxa"/>
            <w:tcBorders>
              <w:top w:val="nil"/>
              <w:left w:val="nil"/>
              <w:bottom w:val="nil"/>
              <w:right w:val="nil"/>
            </w:tcBorders>
            <w:shd w:val="clear" w:color="auto" w:fill="auto"/>
            <w:vAlign w:val="bottom"/>
          </w:tcPr>
          <w:p>
            <w:pPr>
              <w:jc w:val="left"/>
              <w:rPr>
                <w:rFonts w:ascii="Times New Roman" w:hAnsi="Times New Roman" w:eastAsia="Times New Roman" w:cs="Times New Roman"/>
                <w:color w:val="000000"/>
                <w:sz w:val="20"/>
                <w:szCs w:val="20"/>
                <w:u w:val="none"/>
                <w:lang w:eastAsia="es-ES"/>
              </w:rPr>
            </w:pP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-6.9026</w:t>
            </w:r>
          </w:p>
        </w:tc>
        <w:tc>
          <w:tcPr>
            <w:tcW w:w="440" w:type="dxa"/>
            <w:tcBorders>
              <w:top w:val="nil"/>
              <w:left w:val="nil"/>
              <w:bottom w:val="nil"/>
              <w:right w:val="nil"/>
            </w:tcBorders>
            <w:shd w:val="clear" w:color="auto" w:fill="auto"/>
            <w:vAlign w:val="bottom"/>
          </w:tcPr>
          <w:p>
            <w:pPr>
              <w:ind w:left="-78"/>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t>
            </w: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1.7608</w:t>
            </w: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51"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Time FE</w:t>
            </w:r>
          </w:p>
        </w:tc>
        <w:tc>
          <w:tcPr>
            <w:tcW w:w="88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Yes</w:t>
            </w:r>
          </w:p>
        </w:tc>
        <w:tc>
          <w:tcPr>
            <w:tcW w:w="890" w:type="dxa"/>
            <w:tcBorders>
              <w:top w:val="nil"/>
              <w:left w:val="nil"/>
              <w:bottom w:val="nil"/>
              <w:right w:val="nil"/>
            </w:tcBorders>
            <w:vAlign w:val="bottom"/>
          </w:tcPr>
          <w:p>
            <w:pPr>
              <w:jc w:val="right"/>
              <w:rPr>
                <w:rFonts w:ascii="Times New Roman" w:hAnsi="Times New Roman" w:eastAsia="Times New Roman" w:cs="Times New Roman"/>
                <w:color w:val="000000"/>
                <w:sz w:val="20"/>
                <w:szCs w:val="20"/>
                <w:u w:val="none"/>
                <w:lang w:eastAsia="es-ES"/>
              </w:rPr>
            </w:pPr>
          </w:p>
        </w:tc>
        <w:tc>
          <w:tcPr>
            <w:tcW w:w="482" w:type="dxa"/>
            <w:tcBorders>
              <w:top w:val="nil"/>
              <w:left w:val="nil"/>
              <w:bottom w:val="nil"/>
              <w:right w:val="nil"/>
            </w:tcBorders>
            <w:vAlign w:val="bottom"/>
          </w:tcPr>
          <w:p>
            <w:pPr>
              <w:ind w:left="-13"/>
              <w:jc w:val="left"/>
              <w:rPr>
                <w:rFonts w:ascii="Times New Roman" w:hAnsi="Times New Roman" w:eastAsia="Times New Roman" w:cs="Times New Roman"/>
                <w:color w:val="000000"/>
                <w:sz w:val="20"/>
                <w:szCs w:val="20"/>
                <w:u w:val="none"/>
                <w:lang w:eastAsia="es-ES"/>
              </w:rPr>
            </w:pPr>
          </w:p>
        </w:tc>
        <w:tc>
          <w:tcPr>
            <w:tcW w:w="19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8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Yes</w:t>
            </w:r>
          </w:p>
        </w:tc>
        <w:tc>
          <w:tcPr>
            <w:tcW w:w="1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left"/>
              <w:rPr>
                <w:rFonts w:ascii="Times New Roman" w:hAnsi="Times New Roman" w:eastAsia="Times New Roman" w:cs="Times New Roman"/>
                <w:color w:val="000000"/>
                <w:sz w:val="20"/>
                <w:szCs w:val="20"/>
                <w:u w:val="none"/>
                <w:lang w:eastAsia="es-ES"/>
              </w:rPr>
            </w:pP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Yes</w:t>
            </w: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1151"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Num. Obs.</w:t>
            </w:r>
          </w:p>
        </w:tc>
        <w:tc>
          <w:tcPr>
            <w:tcW w:w="880"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120</w:t>
            </w:r>
          </w:p>
        </w:tc>
        <w:tc>
          <w:tcPr>
            <w:tcW w:w="890" w:type="dxa"/>
            <w:tcBorders>
              <w:top w:val="nil"/>
              <w:left w:val="nil"/>
              <w:bottom w:val="nil"/>
              <w:right w:val="nil"/>
            </w:tcBorders>
            <w:vAlign w:val="bottom"/>
          </w:tcPr>
          <w:p>
            <w:pPr>
              <w:jc w:val="right"/>
              <w:rPr>
                <w:rFonts w:ascii="Times New Roman" w:hAnsi="Times New Roman" w:eastAsia="Times New Roman" w:cs="Times New Roman"/>
                <w:color w:val="000000"/>
                <w:sz w:val="20"/>
                <w:szCs w:val="20"/>
                <w:u w:val="none"/>
                <w:lang w:eastAsia="es-ES"/>
              </w:rPr>
            </w:pPr>
          </w:p>
        </w:tc>
        <w:tc>
          <w:tcPr>
            <w:tcW w:w="482" w:type="dxa"/>
            <w:tcBorders>
              <w:top w:val="nil"/>
              <w:left w:val="nil"/>
              <w:bottom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190" w:type="dxa"/>
            <w:tcBorders>
              <w:top w:val="nil"/>
              <w:left w:val="nil"/>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88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120</w:t>
            </w:r>
          </w:p>
        </w:tc>
        <w:tc>
          <w:tcPr>
            <w:tcW w:w="1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jc w:val="left"/>
              <w:rPr>
                <w:rFonts w:ascii="Times New Roman" w:hAnsi="Times New Roman" w:eastAsia="Times New Roman" w:cs="Times New Roman"/>
                <w:color w:val="000000"/>
                <w:sz w:val="20"/>
                <w:szCs w:val="20"/>
                <w:u w:val="none"/>
                <w:lang w:eastAsia="es-ES"/>
              </w:rPr>
            </w:pP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120</w:t>
            </w:r>
          </w:p>
        </w:tc>
        <w:tc>
          <w:tcPr>
            <w:tcW w:w="44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890" w:type="dxa"/>
            <w:tcBorders>
              <w:top w:val="nil"/>
              <w:left w:val="nil"/>
              <w:bottom w:val="nil"/>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p>
        </w:tc>
        <w:tc>
          <w:tcPr>
            <w:tcW w:w="44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45" w:hRule="atLeast"/>
          <w:jc w:val="center"/>
        </w:trPr>
        <w:tc>
          <w:tcPr>
            <w:tcW w:w="1151"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R</w:t>
            </w:r>
            <w:r>
              <w:rPr>
                <w:rFonts w:ascii="Times New Roman" w:hAnsi="Times New Roman" w:eastAsia="Times New Roman" w:cs="Times New Roman"/>
                <w:color w:val="000000"/>
                <w:sz w:val="20"/>
                <w:szCs w:val="20"/>
                <w:u w:val="none"/>
                <w:vertAlign w:val="superscript"/>
                <w:lang w:eastAsia="es-ES"/>
              </w:rPr>
              <w:t>2</w:t>
            </w:r>
          </w:p>
        </w:tc>
        <w:tc>
          <w:tcPr>
            <w:tcW w:w="880" w:type="dxa"/>
            <w:tcBorders>
              <w:top w:val="nil"/>
              <w:left w:val="nil"/>
              <w:bottom w:val="single" w:color="auto" w:sz="4" w:space="0"/>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0.0102</w:t>
            </w:r>
          </w:p>
        </w:tc>
        <w:tc>
          <w:tcPr>
            <w:tcW w:w="890" w:type="dxa"/>
            <w:tcBorders>
              <w:top w:val="nil"/>
              <w:left w:val="nil"/>
              <w:bottom w:val="single" w:color="auto" w:sz="4" w:space="0"/>
              <w:right w:val="nil"/>
            </w:tcBorders>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0.4023 </w:t>
            </w:r>
          </w:p>
        </w:tc>
        <w:tc>
          <w:tcPr>
            <w:tcW w:w="482" w:type="dxa"/>
            <w:tcBorders>
              <w:top w:val="nil"/>
              <w:left w:val="nil"/>
              <w:bottom w:val="single" w:color="auto" w:sz="4" w:space="0"/>
              <w:right w:val="nil"/>
            </w:tcBorders>
            <w:vAlign w:val="bottom"/>
          </w:tcPr>
          <w:p>
            <w:pPr>
              <w:jc w:val="center"/>
              <w:rPr>
                <w:rFonts w:ascii="Times New Roman" w:hAnsi="Times New Roman" w:eastAsia="Times New Roman" w:cs="Times New Roman"/>
                <w:color w:val="000000"/>
                <w:sz w:val="20"/>
                <w:szCs w:val="20"/>
                <w:u w:val="none"/>
                <w:lang w:eastAsia="es-ES"/>
              </w:rPr>
            </w:pPr>
          </w:p>
        </w:tc>
        <w:tc>
          <w:tcPr>
            <w:tcW w:w="190" w:type="dxa"/>
            <w:tcBorders>
              <w:top w:val="nil"/>
              <w:left w:val="nil"/>
              <w:right w:val="nil"/>
            </w:tcBorders>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88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0.0177</w:t>
            </w:r>
          </w:p>
        </w:tc>
        <w:tc>
          <w:tcPr>
            <w:tcW w:w="19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890" w:type="dxa"/>
            <w:tcBorders>
              <w:top w:val="nil"/>
              <w:left w:val="nil"/>
              <w:bottom w:val="single" w:color="auto" w:sz="4" w:space="0"/>
              <w:right w:val="nil"/>
            </w:tcBorders>
            <w:shd w:val="clear" w:color="auto" w:fill="auto"/>
            <w:vAlign w:val="bottom"/>
          </w:tcPr>
          <w:p>
            <w:pPr>
              <w:jc w:val="righ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0.4160</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160" w:type="dxa"/>
            <w:tcBorders>
              <w:top w:val="nil"/>
              <w:left w:val="nil"/>
              <w:bottom w:val="nil"/>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p>
        </w:tc>
        <w:tc>
          <w:tcPr>
            <w:tcW w:w="815"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0.0102</w:t>
            </w:r>
          </w:p>
        </w:tc>
        <w:tc>
          <w:tcPr>
            <w:tcW w:w="44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c>
          <w:tcPr>
            <w:tcW w:w="890" w:type="dxa"/>
            <w:tcBorders>
              <w:top w:val="nil"/>
              <w:left w:val="nil"/>
              <w:bottom w:val="single" w:color="auto" w:sz="4" w:space="0"/>
              <w:right w:val="nil"/>
            </w:tcBorders>
            <w:shd w:val="clear" w:color="auto" w:fill="auto"/>
            <w:vAlign w:val="bottom"/>
          </w:tcPr>
          <w:p>
            <w:pPr>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0.4023</w:t>
            </w:r>
          </w:p>
        </w:tc>
        <w:tc>
          <w:tcPr>
            <w:tcW w:w="440" w:type="dxa"/>
            <w:tcBorders>
              <w:top w:val="nil"/>
              <w:left w:val="nil"/>
              <w:bottom w:val="single" w:color="auto" w:sz="4" w:space="0"/>
              <w:right w:val="nil"/>
            </w:tcBorders>
            <w:shd w:val="clear" w:color="auto" w:fill="auto"/>
            <w:vAlign w:val="bottom"/>
          </w:tcPr>
          <w:p>
            <w:pP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 </w:t>
            </w:r>
          </w:p>
        </w:tc>
      </w:tr>
    </w:tbl>
    <w:p>
      <w:pPr>
        <w:spacing w:after="0" w:line="240" w:lineRule="auto"/>
        <w:ind w:right="-284"/>
        <w:jc w:val="center"/>
        <w:rPr>
          <w:rFonts w:ascii="Times New Roman" w:hAnsi="Times New Roman" w:cs="Times New Roman"/>
          <w:b/>
          <w:sz w:val="20"/>
          <w:szCs w:val="20"/>
          <w:u w:val="none"/>
        </w:rPr>
      </w:pPr>
    </w:p>
    <w:p>
      <w:pPr>
        <w:spacing w:line="240" w:lineRule="auto"/>
        <w:ind w:right="-285"/>
        <w:jc w:val="center"/>
        <w:rPr>
          <w:rFonts w:ascii="Times New Roman" w:hAnsi="Times New Roman" w:cs="Times New Roman"/>
          <w:sz w:val="20"/>
          <w:szCs w:val="20"/>
          <w:u w:val="none"/>
        </w:rPr>
      </w:pPr>
      <w:r>
        <w:rPr>
          <w:rFonts w:ascii="Times New Roman" w:hAnsi="Times New Roman" w:cs="Times New Roman"/>
          <w:b/>
          <w:sz w:val="20"/>
          <w:szCs w:val="20"/>
          <w:u w:val="none"/>
        </w:rPr>
        <w:t>Table B1. R</w:t>
      </w:r>
      <w:r>
        <w:rPr>
          <w:rFonts w:ascii="Times New Roman" w:hAnsi="Times New Roman" w:eastAsia="Times New Roman" w:cs="Times New Roman"/>
          <w:b/>
          <w:sz w:val="20"/>
          <w:szCs w:val="20"/>
          <w:u w:val="none"/>
        </w:rPr>
        <w:t>elationship of local GDP and the performance of the infrastructure asset.</w:t>
      </w:r>
      <w:r>
        <w:rPr>
          <w:rFonts w:ascii="Times New Roman" w:hAnsi="Times New Roman" w:eastAsia="Times New Roman" w:cs="Times New Roman"/>
          <w:sz w:val="20"/>
          <w:szCs w:val="20"/>
          <w:u w:val="none"/>
        </w:rPr>
        <w:t xml:space="preserve"> </w:t>
      </w:r>
      <w:r>
        <w:rPr>
          <w:rFonts w:ascii="Times New Roman" w:hAnsi="Times New Roman" w:cs="Times New Roman"/>
          <w:sz w:val="20"/>
          <w:szCs w:val="20"/>
          <w:u w:val="none"/>
        </w:rPr>
        <w:t xml:space="preserve">This table shows the of local economic activity measured in terms of employment growth in the Toronto area with growth in revenues (specification </w:t>
      </w:r>
      <w:r>
        <w:rPr>
          <w:rFonts w:ascii="Times New Roman" w:hAnsi="Times New Roman" w:cs="Times New Roman"/>
          <w:sz w:val="20"/>
          <w:szCs w:val="20"/>
          <w:u w:val="none"/>
          <w:vertAlign w:val="superscript"/>
        </w:rPr>
        <w:t>[1]</w:t>
      </w:r>
      <w:r>
        <w:rPr>
          <w:rFonts w:ascii="Times New Roman" w:hAnsi="Times New Roman" w:cs="Times New Roman"/>
          <w:sz w:val="20"/>
          <w:szCs w:val="20"/>
          <w:u w:val="none"/>
        </w:rPr>
        <w:t xml:space="preserve">), growth in VKT (specification </w:t>
      </w:r>
      <w:r>
        <w:rPr>
          <w:rFonts w:ascii="Times New Roman" w:hAnsi="Times New Roman" w:cs="Times New Roman"/>
          <w:sz w:val="20"/>
          <w:szCs w:val="20"/>
          <w:u w:val="none"/>
          <w:vertAlign w:val="superscript"/>
        </w:rPr>
        <w:t>[2]</w:t>
      </w:r>
      <w:r>
        <w:rPr>
          <w:rFonts w:ascii="Times New Roman" w:hAnsi="Times New Roman" w:cs="Times New Roman"/>
          <w:sz w:val="20"/>
          <w:szCs w:val="20"/>
          <w:u w:val="none"/>
        </w:rPr>
        <w:t xml:space="preserve">), and the growth in the average tariff (specification </w:t>
      </w:r>
      <w:r>
        <w:rPr>
          <w:rFonts w:ascii="Times New Roman" w:hAnsi="Times New Roman" w:cs="Times New Roman"/>
          <w:sz w:val="20"/>
          <w:szCs w:val="20"/>
          <w:u w:val="none"/>
          <w:vertAlign w:val="superscript"/>
        </w:rPr>
        <w:t>[3]</w:t>
      </w:r>
      <w:r>
        <w:rPr>
          <w:rFonts w:ascii="Times New Roman" w:hAnsi="Times New Roman" w:cs="Times New Roman"/>
          <w:sz w:val="20"/>
          <w:szCs w:val="20"/>
          <w:u w:val="none"/>
        </w:rPr>
        <w:t xml:space="preserve">) in the 407 ETR. </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and </w:t>
      </w:r>
      <w:r>
        <w:rPr>
          <w:rFonts w:ascii="Times New Roman" w:hAnsi="Times New Roman" w:cs="Times New Roman"/>
          <w:sz w:val="20"/>
          <w:szCs w:val="20"/>
          <w:u w:val="none"/>
          <w:vertAlign w:val="superscript"/>
        </w:rPr>
        <w:t>***</w:t>
      </w:r>
      <w:r>
        <w:rPr>
          <w:rFonts w:ascii="Times New Roman" w:hAnsi="Times New Roman" w:cs="Times New Roman"/>
          <w:sz w:val="20"/>
          <w:szCs w:val="20"/>
          <w:u w:val="none"/>
        </w:rPr>
        <w:t xml:space="preserve"> indicates statistical significance at the 10%, 5%, and 1% level, respectively</w:t>
      </w:r>
    </w:p>
    <w:p>
      <w:pPr>
        <w:spacing w:line="276" w:lineRule="auto"/>
        <w:rPr>
          <w:rFonts w:ascii="Times New Roman" w:hAnsi="Times New Roman" w:eastAsia="Times New Roman" w:cs="Times New Roman"/>
          <w:szCs w:val="21"/>
          <w:u w:val="none"/>
        </w:rPr>
      </w:pPr>
    </w:p>
    <w:p>
      <w:pPr>
        <w:spacing w:line="276" w:lineRule="auto"/>
        <w:rPr>
          <w:rFonts w:ascii="Times New Roman" w:hAnsi="Times New Roman" w:eastAsia="宋体" w:cs="Times New Roman"/>
          <w:u w:val="none"/>
        </w:rPr>
      </w:pPr>
      <w:r>
        <w:rPr>
          <w:rFonts w:ascii="Times New Roman" w:hAnsi="Times New Roman" w:eastAsia="Times New Roman" w:cs="Times New Roman"/>
          <w:szCs w:val="21"/>
          <w:u w:val="none"/>
        </w:rPr>
        <w:t>The empirical results that we have provided show that, when interest rates increase, then the increase in the value of the 407 ETR from the increase in cash flows is higher than the decrease in value from the increase in the discount rate. In the following section, we will setup and solve a partial equilibrium model for the valuation of the 5 different categories of infrastructure assets in order to study the effects of the economic activity in the value of these different assets.</w:t>
      </w:r>
      <w:r>
        <w:rPr>
          <w:rFonts w:ascii="Times New Roman" w:hAnsi="Times New Roman" w:eastAsia="Times New Roman" w:cs="Times New Roman"/>
          <w:sz w:val="24"/>
          <w:szCs w:val="24"/>
          <w:u w:val="none"/>
        </w:rPr>
        <w:t xml:space="preserve"> </w:t>
      </w:r>
    </w:p>
    <w:p>
      <w:pPr>
        <w:spacing w:after="120" w:line="276" w:lineRule="auto"/>
        <w:rPr>
          <w:rFonts w:ascii="Times New Roman" w:hAnsi="Times New Roman" w:cs="Times New Roman"/>
          <w:b/>
          <w:bCs/>
          <w:u w:val="none"/>
        </w:rPr>
      </w:pPr>
      <w:r>
        <w:rPr>
          <w:rFonts w:ascii="Times New Roman" w:hAnsi="Times New Roman" w:cs="Times New Roman"/>
          <w:b/>
          <w:bCs/>
          <w:u w:val="none"/>
        </w:rPr>
        <w:t>4. Economic activity and the valuation of different types of infrastructure assets: a structural model</w:t>
      </w:r>
    </w:p>
    <w:p>
      <w:pPr>
        <w:spacing w:after="120" w:line="276" w:lineRule="auto"/>
        <w:rPr>
          <w:rFonts w:ascii="Times New Roman" w:hAnsi="Times New Roman" w:eastAsia="Times New Roman" w:cs="Times New Roman"/>
          <w:b/>
          <w:bCs/>
          <w:szCs w:val="21"/>
          <w:u w:val="none"/>
        </w:rPr>
      </w:pPr>
      <w:r>
        <w:rPr>
          <w:rFonts w:ascii="Times New Roman" w:hAnsi="Times New Roman" w:eastAsia="Times New Roman" w:cs="Times New Roman"/>
          <w:szCs w:val="21"/>
          <w:u w:val="none"/>
        </w:rPr>
        <w:t xml:space="preserve">In the previous section, we have empirically analyzed the effects of economic activity on a specific category 5 infrastructure asset. In this section, we set up and develop a parsimonious valuation model of infrastructure assets to compare the effects of economic activity on the value of assets across the 5 types of infrastructure assets that we described in section 1. We assume that the value of an infrastructure asset, </w:t>
      </w:r>
      <w:r>
        <w:rPr>
          <w:rFonts w:ascii="Times New Roman" w:hAnsi="Times New Roman" w:eastAsia="Times New Roman" w:cs="Times New Roman"/>
          <w:i/>
          <w:iCs/>
          <w:szCs w:val="21"/>
          <w:u w:val="none"/>
        </w:rPr>
        <w:t>V</w:t>
      </w:r>
      <w:r>
        <w:rPr>
          <w:rFonts w:ascii="Times New Roman" w:hAnsi="Times New Roman" w:eastAsia="Times New Roman" w:cs="Times New Roman"/>
          <w:szCs w:val="21"/>
          <w:u w:val="none"/>
        </w:rPr>
        <w:t>, is determined by all the free cash flows that it can generate in the future, discounted at its weighted average cost of capital as follows:</w:t>
      </w:r>
    </w:p>
    <w:p>
      <w:pPr>
        <w:spacing w:before="240" w:after="120" w:line="360" w:lineRule="auto"/>
        <w:rPr>
          <w:rFonts w:ascii="Times New Roman," w:hAnsi="Times New Roman," w:eastAsia="Times New Roman," w:cs="Times New Roman,"/>
          <w:sz w:val="24"/>
          <w:szCs w:val="24"/>
          <w:u w:val="none"/>
        </w:rPr>
      </w:pPr>
      <m:oMath>
        <m:r>
          <w:rPr>
            <w:rFonts w:ascii="Cambria Math" w:hAnsi="Cambria Math" w:cs="Times New Roman"/>
            <w:szCs w:val="21"/>
            <w:u w:val="none"/>
          </w:rPr>
          <m:t>V=</m:t>
        </m:r>
        <m:nary>
          <m:naryPr>
            <m:chr m:val="∑"/>
            <m:limLoc m:val="undOvr"/>
            <m:ctrlPr>
              <w:rPr>
                <w:rFonts w:ascii="Cambria Math" w:hAnsi="Cambria Math" w:cs="Times New Roman"/>
                <w:i/>
                <w:szCs w:val="21"/>
                <w:u w:val="none"/>
              </w:rPr>
            </m:ctrlPr>
          </m:naryPr>
          <m:sub>
            <m:r>
              <w:rPr>
                <w:rFonts w:ascii="Cambria Math" w:hAnsi="Cambria Math" w:cs="Times New Roman"/>
                <w:szCs w:val="21"/>
                <w:u w:val="none"/>
              </w:rPr>
              <m:t>t=0</m:t>
            </m:r>
            <m:ctrlPr>
              <w:rPr>
                <w:rFonts w:ascii="Cambria Math" w:hAnsi="Cambria Math" w:cs="Times New Roman"/>
                <w:i/>
                <w:szCs w:val="21"/>
                <w:u w:val="none"/>
              </w:rPr>
            </m:ctrlPr>
          </m:sub>
          <m:sup>
            <m:r>
              <w:rPr>
                <w:rFonts w:ascii="Cambria Math" w:hAnsi="Cambria Math" w:cs="Times New Roman"/>
                <w:szCs w:val="21"/>
                <w:u w:val="none"/>
              </w:rPr>
              <m:t>T</m:t>
            </m:r>
            <m:ctrlPr>
              <w:rPr>
                <w:rFonts w:ascii="Cambria Math" w:hAnsi="Cambria Math" w:cs="Times New Roman"/>
                <w:i/>
                <w:szCs w:val="21"/>
                <w:u w:val="none"/>
              </w:rPr>
            </m:ctrlPr>
          </m:sup>
          <m:e>
            <m:f>
              <m:fPr>
                <m:ctrlPr>
                  <w:rPr>
                    <w:rFonts w:ascii="Cambria Math" w:hAnsi="Cambria Math" w:cs="Times New Roman"/>
                    <w:i/>
                    <w:szCs w:val="21"/>
                    <w:u w:val="none"/>
                  </w:rPr>
                </m:ctrlPr>
              </m:fPr>
              <m:num>
                <m:sSub>
                  <m:sSubPr>
                    <m:ctrlPr>
                      <w:rPr>
                        <w:rFonts w:ascii="Cambria Math" w:hAnsi="Cambria Math" w:cs="Times New Roman"/>
                        <w:i/>
                        <w:szCs w:val="21"/>
                        <w:u w:val="none"/>
                      </w:rPr>
                    </m:ctrlPr>
                  </m:sSubPr>
                  <m:e>
                    <m:r>
                      <w:rPr>
                        <w:rFonts w:ascii="Cambria Math" w:hAnsi="Cambria Math" w:cs="Times New Roman"/>
                        <w:szCs w:val="21"/>
                        <w:u w:val="none"/>
                      </w:rPr>
                      <m:t>FCF</m:t>
                    </m:r>
                    <m:ctrlPr>
                      <w:rPr>
                        <w:rFonts w:ascii="Cambria Math" w:hAnsi="Cambria Math" w:cs="Times New Roman"/>
                        <w:i/>
                        <w:szCs w:val="21"/>
                        <w:u w:val="none"/>
                      </w:rPr>
                    </m:ctrlPr>
                  </m:e>
                  <m:sub>
                    <m:r>
                      <w:rPr>
                        <w:rFonts w:ascii="Cambria Math" w:hAnsi="Cambria Math" w:cs="Times New Roman"/>
                        <w:szCs w:val="21"/>
                        <w:u w:val="none"/>
                      </w:rPr>
                      <m:t>t</m:t>
                    </m:r>
                    <m:ctrlPr>
                      <w:rPr>
                        <w:rFonts w:ascii="Cambria Math" w:hAnsi="Cambria Math" w:cs="Times New Roman"/>
                        <w:i/>
                        <w:szCs w:val="21"/>
                        <w:u w:val="none"/>
                      </w:rPr>
                    </m:ctrlPr>
                  </m:sub>
                </m:sSub>
                <m:ctrlPr>
                  <w:rPr>
                    <w:rFonts w:ascii="Cambria Math" w:hAnsi="Cambria Math" w:cs="Times New Roman"/>
                    <w:i/>
                    <w:szCs w:val="21"/>
                    <w:u w:val="none"/>
                  </w:rPr>
                </m:ctrlPr>
              </m:num>
              <m:den>
                <m:r>
                  <w:rPr>
                    <w:rFonts w:ascii="Cambria Math" w:hAnsi="Cambria Math" w:cs="Times New Roman"/>
                    <w:szCs w:val="21"/>
                    <w:u w:val="none"/>
                  </w:rPr>
                  <m:t>1+</m:t>
                </m:r>
                <m:sSub>
                  <m:sSubPr>
                    <m:ctrlPr>
                      <w:rPr>
                        <w:rFonts w:ascii="Cambria Math" w:hAnsi="Cambria Math" w:cs="Times New Roman"/>
                        <w:i/>
                        <w:szCs w:val="21"/>
                        <w:u w:val="none"/>
                      </w:rPr>
                    </m:ctrlPr>
                  </m:sSubPr>
                  <m:e>
                    <m:r>
                      <w:rPr>
                        <w:rFonts w:ascii="Cambria Math" w:hAnsi="Cambria Math" w:cs="Times New Roman"/>
                        <w:szCs w:val="21"/>
                        <w:u w:val="none"/>
                      </w:rPr>
                      <m:t>WACC</m:t>
                    </m:r>
                    <m:ctrlPr>
                      <w:rPr>
                        <w:rFonts w:ascii="Cambria Math" w:hAnsi="Cambria Math" w:cs="Times New Roman"/>
                        <w:i/>
                        <w:szCs w:val="21"/>
                        <w:u w:val="none"/>
                      </w:rPr>
                    </m:ctrlPr>
                  </m:e>
                  <m:sub>
                    <m:r>
                      <w:rPr>
                        <w:rFonts w:ascii="Cambria Math" w:hAnsi="Cambria Math" w:cs="Times New Roman"/>
                        <w:szCs w:val="21"/>
                        <w:u w:val="none"/>
                      </w:rPr>
                      <m:t>t</m:t>
                    </m:r>
                    <m:ctrlPr>
                      <w:rPr>
                        <w:rFonts w:ascii="Cambria Math" w:hAnsi="Cambria Math" w:cs="Times New Roman"/>
                        <w:i/>
                        <w:szCs w:val="21"/>
                        <w:u w:val="none"/>
                      </w:rPr>
                    </m:ctrlPr>
                  </m:sub>
                </m:sSub>
                <m:ctrlPr>
                  <w:rPr>
                    <w:rFonts w:ascii="Cambria Math" w:hAnsi="Cambria Math" w:cs="Times New Roman"/>
                    <w:i/>
                    <w:szCs w:val="21"/>
                    <w:u w:val="none"/>
                  </w:rPr>
                </m:ctrlPr>
              </m:den>
            </m:f>
            <m:ctrlPr>
              <w:rPr>
                <w:rFonts w:ascii="Cambria Math" w:hAnsi="Cambria Math" w:cs="Times New Roman"/>
                <w:i/>
                <w:szCs w:val="21"/>
                <w:u w:val="none"/>
              </w:rPr>
            </m:ctrlPr>
          </m:e>
        </m:nary>
      </m:oMath>
      <w:r>
        <w:rPr>
          <w:rFonts w:ascii="Times New Roman," w:hAnsi="Times New Roman," w:eastAsia="Times New Roman," w:cs="Times New Roman,"/>
          <w:sz w:val="32"/>
          <w:szCs w:val="32"/>
          <w:u w:val="none"/>
        </w:rPr>
        <w:t xml:space="preserve">  </w:t>
      </w:r>
      <w:r>
        <w:rPr>
          <w:rFonts w:ascii="Times New Roman," w:hAnsi="Times New Roman," w:eastAsia="Times New Roman," w:cs="Times New Roman,"/>
          <w:u w:val="none"/>
        </w:rPr>
        <w:t xml:space="preserve">    </w:t>
      </w:r>
      <w:r>
        <w:rPr>
          <w:rFonts w:ascii="Times New Roman," w:hAnsi="Times New Roman," w:eastAsia="Times New Roman," w:cs="Times New Roman,"/>
          <w:sz w:val="24"/>
          <w:szCs w:val="24"/>
          <w:u w:val="none"/>
        </w:rPr>
        <w:t xml:space="preserve">                                 </w:t>
      </w:r>
      <w:r>
        <w:rPr>
          <w:rFonts w:ascii="Times New Roman," w:hAnsi="Times New Roman," w:eastAsia="Times New Roman," w:cs="Times New Roman,"/>
          <w:sz w:val="24"/>
          <w:szCs w:val="24"/>
          <w:u w:val="none"/>
        </w:rPr>
        <w:tab/>
      </w:r>
      <w:r>
        <w:rPr>
          <w:rFonts w:ascii="Times New Roman," w:hAnsi="Times New Roman," w:eastAsia="Times New Roman," w:cs="Times New Roman,"/>
          <w:sz w:val="24"/>
          <w:szCs w:val="24"/>
          <w:u w:val="none"/>
        </w:rPr>
        <w:tab/>
      </w:r>
      <w:r>
        <w:rPr>
          <w:rFonts w:ascii="Times New Roman," w:hAnsi="Times New Roman," w:eastAsia="Times New Roman," w:cs="Times New Roman,"/>
          <w:sz w:val="24"/>
          <w:szCs w:val="24"/>
          <w:u w:val="none"/>
        </w:rPr>
        <w:tab/>
      </w:r>
      <w:r>
        <w:rPr>
          <w:rFonts w:ascii="Times New Roman," w:hAnsi="Times New Roman," w:eastAsia="Times New Roman," w:cs="Times New Roman,"/>
          <w:sz w:val="24"/>
          <w:szCs w:val="24"/>
          <w:u w:val="none"/>
        </w:rPr>
        <w:tab/>
      </w:r>
      <w:r>
        <w:rPr>
          <w:rFonts w:ascii="Times New Roman," w:hAnsi="Times New Roman," w:eastAsia="Times New Roman," w:cs="Times New Roman,"/>
          <w:sz w:val="24"/>
          <w:szCs w:val="24"/>
          <w:u w:val="none"/>
        </w:rPr>
        <w:tab/>
      </w:r>
      <w:r>
        <w:rPr>
          <w:rFonts w:ascii="Times New Roman," w:hAnsi="Times New Roman," w:eastAsia="Times New Roman," w:cs="Times New Roman,"/>
          <w:sz w:val="24"/>
          <w:szCs w:val="24"/>
          <w:u w:val="none"/>
        </w:rPr>
        <w:tab/>
      </w:r>
      <w:r>
        <w:rPr>
          <w:rFonts w:ascii="Times New Roman," w:hAnsi="Times New Roman," w:eastAsia="Times New Roman," w:cs="Times New Roman,"/>
          <w:sz w:val="24"/>
          <w:szCs w:val="24"/>
          <w:u w:val="none"/>
        </w:rPr>
        <w:t xml:space="preserve"> </w:t>
      </w:r>
      <w:r>
        <w:rPr>
          <w:rFonts w:ascii="Times New Roman," w:hAnsi="Times New Roman," w:eastAsia="Times New Roman," w:cs="Times New Roman,"/>
          <w:szCs w:val="21"/>
          <w:u w:val="none"/>
        </w:rPr>
        <w:t xml:space="preserve">   (2)</w:t>
      </w:r>
    </w:p>
    <w:p>
      <w:pPr>
        <w:spacing w:before="240" w:after="120" w:line="276" w:lineRule="auto"/>
        <w:rPr>
          <w:rFonts w:ascii="Times New Roman" w:hAnsi="Times New Roman" w:cs="Times New Roman"/>
          <w:szCs w:val="21"/>
          <w:u w:val="none"/>
        </w:rPr>
      </w:pPr>
      <w:r>
        <w:rPr>
          <w:rFonts w:ascii="Times New Roman" w:hAnsi="Times New Roman" w:cs="Times New Roman"/>
          <w:szCs w:val="21"/>
          <w:u w:val="none"/>
        </w:rPr>
        <w:t xml:space="preserve">where </w:t>
      </w:r>
      <w:r>
        <w:rPr>
          <w:rFonts w:ascii="Times New Roman" w:hAnsi="Times New Roman" w:cs="Times New Roman"/>
          <w:i/>
          <w:iCs/>
          <w:szCs w:val="21"/>
          <w:u w:val="none"/>
        </w:rPr>
        <w:t>FCF</w:t>
      </w:r>
      <w:r>
        <w:rPr>
          <w:rFonts w:ascii="Times New Roman" w:hAnsi="Times New Roman" w:cs="Times New Roman"/>
          <w:i/>
          <w:iCs/>
          <w:szCs w:val="21"/>
          <w:u w:val="none"/>
          <w:vertAlign w:val="subscript"/>
        </w:rPr>
        <w:t>t</w:t>
      </w:r>
      <w:r>
        <w:rPr>
          <w:rFonts w:ascii="Times New Roman" w:hAnsi="Times New Roman" w:cs="Times New Roman"/>
          <w:szCs w:val="21"/>
          <w:u w:val="none"/>
        </w:rPr>
        <w:t xml:space="preserve"> is the free cash flow at any time </w:t>
      </w:r>
      <w:r>
        <w:rPr>
          <w:rFonts w:ascii="Times New Roman" w:hAnsi="Times New Roman" w:cs="Times New Roman"/>
          <w:i/>
          <w:iCs/>
          <w:szCs w:val="21"/>
          <w:u w:val="none"/>
        </w:rPr>
        <w:t>t</w:t>
      </w:r>
      <w:r>
        <w:rPr>
          <w:rFonts w:ascii="Times New Roman" w:hAnsi="Times New Roman" w:cs="Times New Roman"/>
          <w:szCs w:val="21"/>
          <w:u w:val="none"/>
        </w:rPr>
        <w:t xml:space="preserve">, </w:t>
      </w:r>
      <w:r>
        <w:rPr>
          <w:rFonts w:ascii="Times New Roman" w:hAnsi="Times New Roman" w:cs="Times New Roman"/>
          <w:i/>
          <w:iCs/>
          <w:szCs w:val="21"/>
          <w:u w:val="none"/>
        </w:rPr>
        <w:t>WACC</w:t>
      </w:r>
      <w:r>
        <w:rPr>
          <w:rFonts w:ascii="Times New Roman" w:hAnsi="Times New Roman" w:cs="Times New Roman"/>
          <w:i/>
          <w:iCs/>
          <w:szCs w:val="21"/>
          <w:u w:val="none"/>
          <w:vertAlign w:val="subscript"/>
        </w:rPr>
        <w:t>t</w:t>
      </w:r>
      <w:r>
        <w:rPr>
          <w:rFonts w:ascii="Times New Roman" w:hAnsi="Times New Roman" w:cs="Times New Roman"/>
          <w:szCs w:val="21"/>
          <w:u w:val="none"/>
        </w:rPr>
        <w:t xml:space="preserve"> is the weighted average cost of capital, and </w:t>
      </w:r>
      <w:r>
        <w:rPr>
          <w:rFonts w:ascii="Times New Roman" w:hAnsi="Times New Roman" w:cs="Times New Roman"/>
          <w:i/>
          <w:iCs/>
          <w:szCs w:val="21"/>
          <w:u w:val="none"/>
        </w:rPr>
        <w:t>T</w:t>
      </w:r>
      <w:r>
        <w:rPr>
          <w:rFonts w:ascii="Times New Roman" w:hAnsi="Times New Roman" w:cs="Times New Roman"/>
          <w:szCs w:val="21"/>
          <w:u w:val="none"/>
        </w:rPr>
        <w:t xml:space="preserve"> is the terminal period of the asset or the end of the concession.</w:t>
      </w:r>
      <w:r>
        <w:rPr>
          <w:rStyle w:val="11"/>
          <w:rFonts w:ascii="Times New Roman" w:hAnsi="Times New Roman" w:cs="Times New Roman"/>
          <w:szCs w:val="21"/>
          <w:u w:val="none"/>
        </w:rPr>
        <w:footnoteReference w:id="1"/>
      </w:r>
      <w:r>
        <w:rPr>
          <w:rFonts w:ascii="Times New Roman" w:hAnsi="Times New Roman" w:cs="Times New Roman"/>
          <w:szCs w:val="21"/>
          <w:u w:val="none"/>
        </w:rPr>
        <w:t xml:space="preserve">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To be able to compare among the different categories of assets, we assume that there is one infrastructure asset and we analyze the impact of interest rate changes in its value in the 5 different categories of assets that we described above. We assume that the asset produces the same initial FCF (e.g., FCF at year 0 is CAD 100,000,000) and the cost of capital that investors will apply to the cash flows that it generates is the same in the 5 categories. The main difference among the 5 categories of assets is the free cash flows that they produce. Table 4 summarizes the assumptions about the free cash flows of the 5 categories of assets. </w:t>
      </w:r>
    </w:p>
    <w:p>
      <w:pPr>
        <w:pStyle w:val="26"/>
        <w:spacing w:after="0" w:line="276" w:lineRule="auto"/>
        <w:ind w:left="0"/>
        <w:contextualSpacing w:val="0"/>
        <w:jc w:val="both"/>
        <w:rPr>
          <w:rFonts w:ascii="Times New Roman" w:hAnsi="Times New Roman" w:cs="Times New Roman"/>
          <w:sz w:val="21"/>
          <w:szCs w:val="21"/>
          <w:u w:val="none"/>
        </w:rPr>
      </w:pPr>
    </w:p>
    <w:tbl>
      <w:tblPr>
        <w:tblStyle w:val="12"/>
        <w:tblW w:w="7320" w:type="dxa"/>
        <w:jc w:val="center"/>
        <w:tblInd w:w="0" w:type="dxa"/>
        <w:tblLayout w:type="fixed"/>
        <w:tblCellMar>
          <w:top w:w="0" w:type="dxa"/>
          <w:left w:w="70" w:type="dxa"/>
          <w:bottom w:w="0" w:type="dxa"/>
          <w:right w:w="70" w:type="dxa"/>
        </w:tblCellMar>
      </w:tblPr>
      <w:tblGrid>
        <w:gridCol w:w="1460"/>
        <w:gridCol w:w="5860"/>
      </w:tblGrid>
      <w:tr>
        <w:tblPrEx>
          <w:tblLayout w:type="fixed"/>
          <w:tblCellMar>
            <w:top w:w="0" w:type="dxa"/>
            <w:left w:w="70" w:type="dxa"/>
            <w:bottom w:w="0" w:type="dxa"/>
            <w:right w:w="70" w:type="dxa"/>
          </w:tblCellMar>
        </w:tblPrEx>
        <w:trPr>
          <w:trHeight w:val="300" w:hRule="atLeast"/>
          <w:jc w:val="center"/>
        </w:trPr>
        <w:tc>
          <w:tcPr>
            <w:tcW w:w="146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cs="Times New Roman"/>
                <w:b/>
                <w:bCs/>
                <w:sz w:val="20"/>
                <w:szCs w:val="20"/>
                <w:u w:val="none"/>
              </w:rPr>
              <w:br w:type="page"/>
            </w:r>
            <w:r>
              <w:rPr>
                <w:rFonts w:ascii="Times New Roman" w:hAnsi="Times New Roman" w:cs="Times New Roman"/>
                <w:b/>
                <w:bCs/>
                <w:sz w:val="20"/>
                <w:szCs w:val="20"/>
                <w:u w:val="none"/>
              </w:rPr>
              <w:br w:type="page"/>
            </w:r>
            <w:r>
              <w:rPr>
                <w:rFonts w:ascii="Times New Roman" w:hAnsi="Times New Roman" w:eastAsia="Times New Roman" w:cs="Times New Roman"/>
                <w:color w:val="000000"/>
                <w:sz w:val="20"/>
                <w:szCs w:val="20"/>
                <w:u w:val="none"/>
                <w:lang w:eastAsia="es-ES"/>
              </w:rPr>
              <w:t>Asset category</w:t>
            </w:r>
          </w:p>
        </w:tc>
        <w:tc>
          <w:tcPr>
            <w:tcW w:w="586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Growth in free cash flows</w:t>
            </w:r>
          </w:p>
        </w:tc>
      </w:tr>
      <w:tr>
        <w:tblPrEx>
          <w:tblLayout w:type="fixed"/>
          <w:tblCellMar>
            <w:top w:w="0" w:type="dxa"/>
            <w:left w:w="70" w:type="dxa"/>
            <w:bottom w:w="0" w:type="dxa"/>
            <w:right w:w="70" w:type="dxa"/>
          </w:tblCellMar>
        </w:tblPrEx>
        <w:trPr>
          <w:trHeight w:val="300" w:hRule="atLeast"/>
          <w:jc w:val="center"/>
        </w:trPr>
        <w:tc>
          <w:tcPr>
            <w:tcW w:w="14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Category 1</w:t>
            </w:r>
          </w:p>
        </w:tc>
        <w:tc>
          <w:tcPr>
            <w:tcW w:w="58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w:t>
            </w:r>
          </w:p>
        </w:tc>
      </w:tr>
      <w:tr>
        <w:tblPrEx>
          <w:tblLayout w:type="fixed"/>
          <w:tblCellMar>
            <w:top w:w="0" w:type="dxa"/>
            <w:left w:w="70" w:type="dxa"/>
            <w:bottom w:w="0" w:type="dxa"/>
            <w:right w:w="70" w:type="dxa"/>
          </w:tblCellMar>
        </w:tblPrEx>
        <w:trPr>
          <w:trHeight w:val="300" w:hRule="atLeast"/>
          <w:jc w:val="center"/>
        </w:trPr>
        <w:tc>
          <w:tcPr>
            <w:tcW w:w="14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Category 2</w:t>
            </w:r>
          </w:p>
        </w:tc>
        <w:tc>
          <w:tcPr>
            <w:tcW w:w="58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Inflation</w:t>
            </w:r>
          </w:p>
        </w:tc>
      </w:tr>
      <w:tr>
        <w:tblPrEx>
          <w:tblLayout w:type="fixed"/>
          <w:tblCellMar>
            <w:top w:w="0" w:type="dxa"/>
            <w:left w:w="70" w:type="dxa"/>
            <w:bottom w:w="0" w:type="dxa"/>
            <w:right w:w="70" w:type="dxa"/>
          </w:tblCellMar>
        </w:tblPrEx>
        <w:trPr>
          <w:trHeight w:val="300" w:hRule="atLeast"/>
          <w:jc w:val="center"/>
        </w:trPr>
        <w:tc>
          <w:tcPr>
            <w:tcW w:w="14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Category 3</w:t>
            </w:r>
          </w:p>
        </w:tc>
        <w:tc>
          <w:tcPr>
            <w:tcW w:w="58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Inflation and traffic growth</w:t>
            </w:r>
          </w:p>
        </w:tc>
      </w:tr>
      <w:tr>
        <w:tblPrEx>
          <w:tblLayout w:type="fixed"/>
          <w:tblCellMar>
            <w:top w:w="0" w:type="dxa"/>
            <w:left w:w="70" w:type="dxa"/>
            <w:bottom w:w="0" w:type="dxa"/>
            <w:right w:w="70" w:type="dxa"/>
          </w:tblCellMar>
        </w:tblPrEx>
        <w:trPr>
          <w:trHeight w:val="300" w:hRule="atLeast"/>
          <w:jc w:val="center"/>
        </w:trPr>
        <w:tc>
          <w:tcPr>
            <w:tcW w:w="14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Category 4</w:t>
            </w:r>
          </w:p>
        </w:tc>
        <w:tc>
          <w:tcPr>
            <w:tcW w:w="58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max(Inflation; GDP per capita growth) and traffic growth</w:t>
            </w:r>
          </w:p>
        </w:tc>
      </w:tr>
      <w:tr>
        <w:tblPrEx>
          <w:tblLayout w:type="fixed"/>
        </w:tblPrEx>
        <w:trPr>
          <w:trHeight w:val="300" w:hRule="atLeast"/>
          <w:jc w:val="center"/>
        </w:trPr>
        <w:tc>
          <w:tcPr>
            <w:tcW w:w="146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Category 5</w:t>
            </w:r>
          </w:p>
        </w:tc>
        <w:tc>
          <w:tcPr>
            <w:tcW w:w="586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Growth in WTP and traffic growth</w:t>
            </w:r>
          </w:p>
        </w:tc>
      </w:tr>
    </w:tbl>
    <w:p>
      <w:pPr>
        <w:spacing w:before="120"/>
        <w:jc w:val="center"/>
        <w:rPr>
          <w:rFonts w:ascii="Times New Roman" w:hAnsi="Times New Roman" w:cs="Times New Roman"/>
          <w:sz w:val="20"/>
          <w:szCs w:val="20"/>
          <w:u w:val="none"/>
        </w:rPr>
      </w:pPr>
      <w:r>
        <w:rPr>
          <w:rFonts w:ascii="Times New Roman" w:hAnsi="Times New Roman" w:cs="Times New Roman"/>
          <w:b/>
          <w:sz w:val="20"/>
          <w:szCs w:val="20"/>
          <w:u w:val="none"/>
        </w:rPr>
        <w:t xml:space="preserve">Table 4. </w:t>
      </w:r>
      <w:r>
        <w:rPr>
          <w:rFonts w:ascii="Times New Roman" w:hAnsi="Times New Roman" w:cs="Times New Roman"/>
          <w:sz w:val="20"/>
          <w:szCs w:val="20"/>
          <w:u w:val="none"/>
        </w:rPr>
        <w:t>Assumptions about the free cash flows of the 5 categories of assets. This table shows the description of the growth in free cash flows that the model assumes for the different categories of infrastructure assets</w:t>
      </w:r>
    </w:p>
    <w:p>
      <w:pPr>
        <w:jc w:val="center"/>
        <w:rPr>
          <w:rFonts w:ascii="Times New Roman" w:hAnsi="Times New Roman" w:cs="Times New Roman"/>
          <w:sz w:val="20"/>
          <w:szCs w:val="20"/>
          <w:u w:val="none"/>
        </w:rPr>
      </w:pPr>
    </w:p>
    <w:p>
      <w:pPr>
        <w:spacing w:after="360" w:line="276" w:lineRule="auto"/>
        <w:rPr>
          <w:rFonts w:ascii="Times New Roman" w:hAnsi="Times New Roman" w:cs="Times New Roman"/>
          <w:b/>
          <w:szCs w:val="21"/>
          <w:u w:val="none"/>
        </w:rPr>
      </w:pPr>
      <w:r>
        <w:rPr>
          <w:rFonts w:ascii="Times New Roman" w:hAnsi="Times New Roman" w:eastAsia="Times New Roman" w:cs="Times New Roman"/>
          <w:szCs w:val="21"/>
          <w:u w:val="none"/>
        </w:rPr>
        <w:t>We assume that the concession will end in 50 years from now and presents a leverage that is defined by a constant debt to value ratio of 0.50. We assume a Taylor rule as in Taylor (1999) such that i</w:t>
      </w:r>
      <w:r>
        <w:rPr>
          <w:rFonts w:ascii="Times New Roman" w:hAnsi="Times New Roman" w:eastAsia="Times New Roman" w:cs="Times New Roman"/>
          <w:i/>
          <w:szCs w:val="21"/>
          <w:u w:val="none"/>
        </w:rPr>
        <w:t>nflation = (interest rate – α</w:t>
      </w:r>
      <w:r>
        <w:rPr>
          <w:rFonts w:ascii="Times New Roman" w:hAnsi="Times New Roman" w:eastAsia="Times New Roman" w:cs="Times New Roman"/>
          <w:i/>
          <w:szCs w:val="21"/>
          <w:u w:val="none"/>
          <w:vertAlign w:val="subscript"/>
        </w:rPr>
        <w:t>1</w:t>
      </w:r>
      <w:r>
        <w:rPr>
          <w:rFonts w:ascii="Times New Roman" w:hAnsi="Times New Roman" w:eastAsia="Times New Roman" w:cs="Times New Roman"/>
          <w:i/>
          <w:szCs w:val="21"/>
          <w:u w:val="none"/>
        </w:rPr>
        <w:t>)/α</w:t>
      </w:r>
      <w:r>
        <w:rPr>
          <w:rFonts w:ascii="Times New Roman" w:hAnsi="Times New Roman" w:eastAsia="Times New Roman" w:cs="Times New Roman"/>
          <w:i/>
          <w:szCs w:val="21"/>
          <w:u w:val="none"/>
          <w:vertAlign w:val="subscript"/>
        </w:rPr>
        <w:t>2</w:t>
      </w:r>
      <w:r>
        <w:rPr>
          <w:rFonts w:ascii="Times New Roman" w:hAnsi="Times New Roman" w:eastAsia="Times New Roman" w:cs="Times New Roman"/>
          <w:i/>
          <w:szCs w:val="21"/>
          <w:u w:val="none"/>
        </w:rPr>
        <w:t>+α</w:t>
      </w:r>
      <w:r>
        <w:rPr>
          <w:rFonts w:ascii="Times New Roman" w:hAnsi="Times New Roman" w:eastAsia="Times New Roman" w:cs="Times New Roman"/>
          <w:i/>
          <w:szCs w:val="21"/>
          <w:u w:val="none"/>
          <w:vertAlign w:val="subscript"/>
        </w:rPr>
        <w:t>3</w:t>
      </w:r>
      <w:r>
        <w:rPr>
          <w:rFonts w:ascii="Times New Roman" w:hAnsi="Times New Roman" w:eastAsia="Times New Roman" w:cs="Times New Roman"/>
          <w:i/>
          <w:szCs w:val="21"/>
          <w:u w:val="none"/>
        </w:rPr>
        <w:t xml:space="preserve">. </w:t>
      </w:r>
      <w:r>
        <w:rPr>
          <w:rFonts w:ascii="Times New Roman" w:hAnsi="Times New Roman" w:eastAsia="Times New Roman" w:cs="Times New Roman"/>
          <w:szCs w:val="21"/>
          <w:u w:val="none"/>
        </w:rPr>
        <w:t xml:space="preserve">We assume that GDP growth is a linear function of interest rates and inflation such that </w:t>
      </w:r>
      <w:r>
        <w:rPr>
          <w:rFonts w:ascii="Times New Roman" w:hAnsi="Times New Roman" w:eastAsia="Times New Roman" w:cs="Times New Roman"/>
          <w:i/>
          <w:szCs w:val="21"/>
          <w:u w:val="none"/>
        </w:rPr>
        <w:t>GDP growth = δ</w:t>
      </w:r>
      <w:r>
        <w:rPr>
          <w:rFonts w:ascii="Times New Roman" w:hAnsi="Times New Roman" w:eastAsia="Times New Roman" w:cs="Times New Roman"/>
          <w:i/>
          <w:szCs w:val="21"/>
          <w:u w:val="none"/>
          <w:vertAlign w:val="subscript"/>
        </w:rPr>
        <w:t>0</w:t>
      </w:r>
      <w:r>
        <w:rPr>
          <w:rFonts w:ascii="Times New Roman" w:hAnsi="Times New Roman" w:eastAsia="Times New Roman" w:cs="Times New Roman"/>
          <w:i/>
          <w:szCs w:val="21"/>
          <w:u w:val="none"/>
        </w:rPr>
        <w:t xml:space="preserve"> + δ</w:t>
      </w:r>
      <w:r>
        <w:rPr>
          <w:rFonts w:ascii="Times New Roman" w:hAnsi="Times New Roman" w:eastAsia="Times New Roman" w:cs="Times New Roman"/>
          <w:i/>
          <w:szCs w:val="21"/>
          <w:u w:val="none"/>
          <w:vertAlign w:val="subscript"/>
        </w:rPr>
        <w:t>1</w:t>
      </w:r>
      <w:r>
        <w:rPr>
          <w:rFonts w:ascii="Times New Roman" w:hAnsi="Times New Roman" w:eastAsia="Times New Roman" w:cs="Times New Roman"/>
          <w:i/>
          <w:szCs w:val="21"/>
          <w:u w:val="none"/>
        </w:rPr>
        <w:t>*interest rate + δ</w:t>
      </w:r>
      <w:r>
        <w:rPr>
          <w:rFonts w:ascii="Times New Roman" w:hAnsi="Times New Roman" w:eastAsia="Times New Roman" w:cs="Times New Roman"/>
          <w:i/>
          <w:szCs w:val="21"/>
          <w:u w:val="none"/>
          <w:vertAlign w:val="subscript"/>
        </w:rPr>
        <w:t>2</w:t>
      </w:r>
      <w:r>
        <w:rPr>
          <w:rFonts w:ascii="Times New Roman" w:hAnsi="Times New Roman" w:eastAsia="Times New Roman" w:cs="Times New Roman"/>
          <w:i/>
          <w:szCs w:val="21"/>
          <w:u w:val="none"/>
        </w:rPr>
        <w:t>*inflation</w:t>
      </w:r>
      <w:r>
        <w:rPr>
          <w:rFonts w:ascii="Times New Roman" w:hAnsi="Times New Roman" w:eastAsia="Times New Roman" w:cs="Times New Roman"/>
          <w:szCs w:val="21"/>
          <w:u w:val="none"/>
        </w:rPr>
        <w:t xml:space="preserve">. We also consider a traffic growth factor of </w:t>
      </w:r>
      <w:r>
        <w:rPr>
          <w:rFonts w:ascii="Century" w:hAnsi="Century" w:eastAsia="Times New Roman" w:cs="Times New Roman"/>
          <w:color w:val="000000"/>
          <w:szCs w:val="21"/>
          <w:u w:val="none"/>
          <w:lang w:eastAsia="es-ES"/>
        </w:rPr>
        <w:t>γ</w:t>
      </w:r>
      <w:r>
        <w:rPr>
          <w:rFonts w:ascii="Times New Roman" w:hAnsi="Times New Roman" w:eastAsia="Times New Roman" w:cs="Times New Roman"/>
          <w:szCs w:val="21"/>
          <w:u w:val="none"/>
        </w:rPr>
        <w:t xml:space="preserve"> times the </w:t>
      </w:r>
      <w:r>
        <w:rPr>
          <w:rFonts w:ascii="Times New Roman" w:hAnsi="Times New Roman" w:eastAsia="Times New Roman" w:cs="Times New Roman"/>
          <w:i/>
          <w:szCs w:val="21"/>
          <w:u w:val="none"/>
        </w:rPr>
        <w:t>GDP growth</w:t>
      </w:r>
      <w:r>
        <w:rPr>
          <w:rFonts w:ascii="Times New Roman" w:hAnsi="Times New Roman" w:eastAsia="Times New Roman" w:cs="Times New Roman"/>
          <w:szCs w:val="21"/>
          <w:u w:val="none"/>
        </w:rPr>
        <w:t xml:space="preserve"> and a </w:t>
      </w:r>
      <w:r>
        <w:rPr>
          <w:rFonts w:ascii="Times New Roman" w:hAnsi="Times New Roman" w:eastAsia="Times New Roman" w:cs="Times New Roman"/>
          <w:i/>
          <w:szCs w:val="21"/>
          <w:u w:val="none"/>
        </w:rPr>
        <w:t>GDP growth per capita</w:t>
      </w:r>
      <w:r>
        <w:rPr>
          <w:rFonts w:ascii="Times New Roman" w:hAnsi="Times New Roman" w:eastAsia="Times New Roman" w:cs="Times New Roman"/>
          <w:szCs w:val="21"/>
          <w:u w:val="none"/>
        </w:rPr>
        <w:t xml:space="preserve"> equal </w:t>
      </w:r>
      <w:r>
        <w:rPr>
          <w:rFonts w:ascii="Times New Roman" w:hAnsi="Times New Roman" w:eastAsia="Times New Roman" w:cs="Times New Roman"/>
          <w:i/>
          <w:szCs w:val="21"/>
          <w:u w:val="none"/>
        </w:rPr>
        <w:t>to μ</w:t>
      </w:r>
      <w:r>
        <w:rPr>
          <w:rFonts w:ascii="Times New Roman" w:hAnsi="Times New Roman" w:eastAsia="Times New Roman" w:cs="Times New Roman"/>
          <w:i/>
          <w:szCs w:val="21"/>
          <w:u w:val="none"/>
          <w:vertAlign w:val="subscript"/>
        </w:rPr>
        <w:t>1</w:t>
      </w:r>
      <w:r>
        <w:rPr>
          <w:rFonts w:ascii="Times New Roman" w:hAnsi="Times New Roman" w:eastAsia="Times New Roman" w:cs="Times New Roman"/>
          <w:i/>
          <w:szCs w:val="21"/>
          <w:u w:val="none"/>
        </w:rPr>
        <w:t xml:space="preserve"> + μ</w:t>
      </w:r>
      <w:r>
        <w:rPr>
          <w:rFonts w:ascii="Times New Roman" w:hAnsi="Times New Roman" w:eastAsia="Times New Roman" w:cs="Times New Roman"/>
          <w:i/>
          <w:szCs w:val="21"/>
          <w:u w:val="none"/>
          <w:vertAlign w:val="subscript"/>
        </w:rPr>
        <w:t>2</w:t>
      </w:r>
      <w:r>
        <w:rPr>
          <w:rFonts w:ascii="Times New Roman" w:hAnsi="Times New Roman" w:eastAsia="Times New Roman" w:cs="Times New Roman"/>
          <w:i/>
          <w:szCs w:val="21"/>
          <w:u w:val="none"/>
        </w:rPr>
        <w:t>*GDP growth</w:t>
      </w:r>
      <w:r>
        <w:rPr>
          <w:rFonts w:ascii="Times New Roman" w:hAnsi="Times New Roman" w:eastAsia="Times New Roman" w:cs="Times New Roman"/>
          <w:szCs w:val="21"/>
          <w:u w:val="none"/>
        </w:rPr>
        <w:t xml:space="preserve">. Table 5 summarizes the parameterization of the model. </w:t>
      </w:r>
    </w:p>
    <w:tbl>
      <w:tblPr>
        <w:tblStyle w:val="12"/>
        <w:tblW w:w="4851" w:type="dxa"/>
        <w:jc w:val="center"/>
        <w:tblInd w:w="0" w:type="dxa"/>
        <w:tblLayout w:type="fixed"/>
        <w:tblCellMar>
          <w:top w:w="0" w:type="dxa"/>
          <w:left w:w="70" w:type="dxa"/>
          <w:bottom w:w="0" w:type="dxa"/>
          <w:right w:w="70" w:type="dxa"/>
        </w:tblCellMar>
      </w:tblPr>
      <w:tblGrid>
        <w:gridCol w:w="3891"/>
        <w:gridCol w:w="960"/>
      </w:tblGrid>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single" w:color="auto" w:sz="4" w:space="0"/>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Parameter</w:t>
            </w:r>
          </w:p>
        </w:tc>
        <w:tc>
          <w:tcPr>
            <w:tcW w:w="96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Value</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Initial free cash flows (millions of CAD)</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100</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Years to end concession (years)</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50</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Inflation parameters:</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α</w:t>
            </w:r>
            <w:r>
              <w:rPr>
                <w:rFonts w:ascii="Times New Roman" w:hAnsi="Times New Roman" w:eastAsia="Times New Roman" w:cs="Times New Roman"/>
                <w:color w:val="000000"/>
                <w:sz w:val="20"/>
                <w:szCs w:val="20"/>
                <w:u w:val="none"/>
                <w:vertAlign w:val="subscript"/>
                <w:lang w:eastAsia="es-ES"/>
              </w:rPr>
              <w:t>1</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-0.04</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α</w:t>
            </w:r>
            <w:r>
              <w:rPr>
                <w:rFonts w:ascii="Times New Roman" w:hAnsi="Times New Roman" w:eastAsia="Times New Roman" w:cs="Times New Roman"/>
                <w:color w:val="000000"/>
                <w:sz w:val="20"/>
                <w:szCs w:val="20"/>
                <w:u w:val="none"/>
                <w:vertAlign w:val="subscript"/>
                <w:lang w:eastAsia="es-ES"/>
              </w:rPr>
              <w:t>2</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1.50</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α</w:t>
            </w:r>
            <w:r>
              <w:rPr>
                <w:rFonts w:ascii="Times New Roman" w:hAnsi="Times New Roman" w:eastAsia="Times New Roman" w:cs="Times New Roman"/>
                <w:color w:val="000000"/>
                <w:sz w:val="20"/>
                <w:szCs w:val="20"/>
                <w:u w:val="none"/>
                <w:vertAlign w:val="subscript"/>
                <w:lang w:eastAsia="es-ES"/>
              </w:rPr>
              <w:t>3</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0.02</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GDP growth parameters:</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δ</w:t>
            </w:r>
            <w:r>
              <w:rPr>
                <w:rFonts w:ascii="Times New Roman" w:hAnsi="Times New Roman" w:eastAsia="Times New Roman" w:cs="Times New Roman"/>
                <w:color w:val="000000"/>
                <w:sz w:val="20"/>
                <w:szCs w:val="20"/>
                <w:u w:val="none"/>
                <w:vertAlign w:val="subscript"/>
                <w:lang w:eastAsia="es-ES"/>
              </w:rPr>
              <w:t>0</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0.01</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δ</w:t>
            </w:r>
            <w:r>
              <w:rPr>
                <w:rFonts w:ascii="Times New Roman" w:hAnsi="Times New Roman" w:eastAsia="Times New Roman" w:cs="Times New Roman"/>
                <w:color w:val="000000"/>
                <w:sz w:val="20"/>
                <w:szCs w:val="20"/>
                <w:u w:val="none"/>
                <w:vertAlign w:val="subscript"/>
                <w:lang w:eastAsia="es-ES"/>
              </w:rPr>
              <w:t>1</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0.2</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δ</w:t>
            </w:r>
            <w:r>
              <w:rPr>
                <w:rFonts w:ascii="Times New Roman" w:hAnsi="Times New Roman" w:eastAsia="Times New Roman" w:cs="Times New Roman"/>
                <w:color w:val="000000"/>
                <w:sz w:val="20"/>
                <w:szCs w:val="20"/>
                <w:u w:val="none"/>
                <w:vertAlign w:val="subscript"/>
                <w:lang w:eastAsia="es-ES"/>
              </w:rPr>
              <w:t>2</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Traffic growth parameter:</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Symbol" w:hAnsi="Symbol" w:eastAsia="Times New Roman"/>
                <w:color w:val="000000"/>
                <w:sz w:val="20"/>
                <w:szCs w:val="20"/>
                <w:u w:val="none"/>
                <w:lang w:eastAsia="es-ES"/>
              </w:rPr>
              <w:t></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0.4</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GDP per capita growth parameters:</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Symbol" w:hAnsi="Symbol" w:eastAsia="Times New Roman"/>
                <w:color w:val="000000"/>
                <w:sz w:val="20"/>
                <w:szCs w:val="20"/>
                <w:u w:val="none"/>
                <w:lang w:eastAsia="es-ES"/>
              </w:rPr>
              <w:t></w:t>
            </w:r>
            <w:r>
              <w:rPr>
                <w:rFonts w:eastAsia="Times New Roman"/>
                <w:color w:val="000000"/>
                <w:sz w:val="20"/>
                <w:szCs w:val="20"/>
                <w:u w:val="none"/>
                <w:vertAlign w:val="subscript"/>
                <w:lang w:eastAsia="es-ES"/>
              </w:rPr>
              <w:t>1</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0.005</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Symbol" w:hAnsi="Symbol" w:eastAsia="Times New Roman"/>
                <w:color w:val="000000"/>
                <w:sz w:val="20"/>
                <w:szCs w:val="20"/>
                <w:u w:val="none"/>
                <w:lang w:eastAsia="es-ES"/>
              </w:rPr>
              <w:t></w:t>
            </w:r>
            <w:r>
              <w:rPr>
                <w:rFonts w:eastAsia="Times New Roman"/>
                <w:color w:val="000000"/>
                <w:sz w:val="20"/>
                <w:szCs w:val="20"/>
                <w:u w:val="none"/>
                <w:vertAlign w:val="subscript"/>
                <w:lang w:eastAsia="es-ES"/>
              </w:rPr>
              <w:t>2</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0.9</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Growth in willingness-to-pay parameter:</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θ</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1.2</w:t>
            </w:r>
          </w:p>
        </w:tc>
      </w:tr>
      <w:tr>
        <w:tblPrEx>
          <w:tblLayout w:type="fixed"/>
          <w:tblCellMar>
            <w:top w:w="0" w:type="dxa"/>
            <w:left w:w="70" w:type="dxa"/>
            <w:bottom w:w="0" w:type="dxa"/>
            <w:right w:w="70" w:type="dxa"/>
          </w:tblCellMar>
        </w:tblPrEx>
        <w:trPr>
          <w:trHeight w:val="33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WACC parameters:</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Beta</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1.0</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Market risk premium</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5%</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Average leverage, Debt/(Debt+Equity)</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0.50</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nil"/>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Tax rate</w:t>
            </w:r>
          </w:p>
        </w:tc>
        <w:tc>
          <w:tcPr>
            <w:tcW w:w="960" w:type="dxa"/>
            <w:tcBorders>
              <w:top w:val="nil"/>
              <w:left w:val="nil"/>
              <w:bottom w:val="nil"/>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30%</w:t>
            </w:r>
          </w:p>
        </w:tc>
      </w:tr>
      <w:tr>
        <w:tblPrEx>
          <w:tblLayout w:type="fixed"/>
          <w:tblCellMar>
            <w:top w:w="0" w:type="dxa"/>
            <w:left w:w="70" w:type="dxa"/>
            <w:bottom w:w="0" w:type="dxa"/>
            <w:right w:w="70" w:type="dxa"/>
          </w:tblCellMar>
        </w:tblPrEx>
        <w:trPr>
          <w:trHeight w:val="300" w:hRule="atLeast"/>
          <w:jc w:val="center"/>
        </w:trPr>
        <w:tc>
          <w:tcPr>
            <w:tcW w:w="3891" w:type="dxa"/>
            <w:tcBorders>
              <w:top w:val="nil"/>
              <w:left w:val="nil"/>
              <w:bottom w:val="single" w:color="auto" w:sz="4" w:space="0"/>
              <w:right w:val="nil"/>
            </w:tcBorders>
            <w:shd w:val="clear" w:color="auto" w:fill="auto"/>
            <w:vAlign w:val="bottom"/>
          </w:tcPr>
          <w:p>
            <w:pPr>
              <w:spacing w:line="276" w:lineRule="auto"/>
              <w:jc w:val="left"/>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Debt premium</w:t>
            </w:r>
          </w:p>
        </w:tc>
        <w:tc>
          <w:tcPr>
            <w:tcW w:w="960" w:type="dxa"/>
            <w:tcBorders>
              <w:top w:val="nil"/>
              <w:left w:val="nil"/>
              <w:bottom w:val="single" w:color="auto" w:sz="4" w:space="0"/>
              <w:right w:val="nil"/>
            </w:tcBorders>
            <w:shd w:val="clear" w:color="auto" w:fill="auto"/>
            <w:vAlign w:val="bottom"/>
          </w:tcPr>
          <w:p>
            <w:pPr>
              <w:spacing w:line="276" w:lineRule="auto"/>
              <w:jc w:val="center"/>
              <w:rPr>
                <w:rFonts w:ascii="Times New Roman" w:hAnsi="Times New Roman" w:eastAsia="Times New Roman" w:cs="Times New Roman"/>
                <w:color w:val="000000"/>
                <w:sz w:val="20"/>
                <w:szCs w:val="20"/>
                <w:u w:val="none"/>
                <w:lang w:eastAsia="es-ES"/>
              </w:rPr>
            </w:pPr>
            <w:r>
              <w:rPr>
                <w:rFonts w:ascii="Times New Roman" w:hAnsi="Times New Roman" w:eastAsia="Times New Roman" w:cs="Times New Roman"/>
                <w:color w:val="000000"/>
                <w:sz w:val="20"/>
                <w:szCs w:val="20"/>
                <w:u w:val="none"/>
                <w:lang w:eastAsia="es-ES"/>
              </w:rPr>
              <w:t>4%</w:t>
            </w:r>
          </w:p>
        </w:tc>
      </w:tr>
    </w:tbl>
    <w:p>
      <w:pPr>
        <w:pStyle w:val="26"/>
        <w:spacing w:before="240" w:after="120" w:line="276" w:lineRule="auto"/>
        <w:ind w:left="0"/>
        <w:contextualSpacing w:val="0"/>
        <w:jc w:val="center"/>
        <w:rPr>
          <w:rFonts w:ascii="Times New Roman" w:hAnsi="Times New Roman" w:eastAsia="Times New Roman" w:cs="Times New Roman"/>
          <w:sz w:val="21"/>
          <w:szCs w:val="21"/>
          <w:u w:val="none"/>
        </w:rPr>
      </w:pPr>
      <w:r>
        <w:rPr>
          <w:rFonts w:ascii="Times New Roman" w:hAnsi="Times New Roman" w:cs="Times New Roman"/>
          <w:b/>
          <w:sz w:val="20"/>
          <w:szCs w:val="20"/>
          <w:u w:val="none"/>
        </w:rPr>
        <w:t xml:space="preserve">Table 5. </w:t>
      </w:r>
      <w:r>
        <w:rPr>
          <w:rFonts w:ascii="Times New Roman" w:hAnsi="Times New Roman" w:cs="Times New Roman"/>
          <w:sz w:val="20"/>
          <w:szCs w:val="20"/>
          <w:u w:val="none"/>
        </w:rPr>
        <w:t>Parameters of the model. This table displays the baseline parameterization of the model</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We estimate the value of the different categories of infrastructure assets for different levels of the risk-free rate ranging from 1% to 7%. Figure 5 exhibits the results of this valuation. We normalize the results to investing 100 units of currency in each category of infrastructure in a scenario of interest rates of 1%. Then we can analyze how the value of each category changes with an increase in interest rates. Several conclusions arise from this figure. First, the values of infrastructure assets of categories 1 and 2 decrease with an increase in interest rates. This result indicates that the </w:t>
      </w:r>
      <w:r>
        <w:rPr>
          <w:rFonts w:ascii="Times New Roman" w:hAnsi="Times New Roman" w:eastAsia="Times New Roman" w:cs="Times New Roman"/>
          <w:i/>
          <w:sz w:val="21"/>
          <w:szCs w:val="21"/>
          <w:u w:val="none"/>
        </w:rPr>
        <w:t xml:space="preserve">discount rate effect </w:t>
      </w:r>
      <w:r>
        <w:rPr>
          <w:rFonts w:ascii="Times New Roman" w:hAnsi="Times New Roman" w:eastAsia="Times New Roman" w:cs="Times New Roman"/>
          <w:sz w:val="21"/>
          <w:szCs w:val="21"/>
          <w:u w:val="none"/>
        </w:rPr>
        <w:t xml:space="preserve">dominates the </w:t>
      </w:r>
      <w:r>
        <w:rPr>
          <w:rFonts w:ascii="Times New Roman" w:hAnsi="Times New Roman" w:eastAsia="Times New Roman" w:cs="Times New Roman"/>
          <w:i/>
          <w:sz w:val="21"/>
          <w:szCs w:val="21"/>
          <w:u w:val="none"/>
        </w:rPr>
        <w:t xml:space="preserve">cash flow effect </w:t>
      </w:r>
      <w:r>
        <w:rPr>
          <w:rFonts w:ascii="Times New Roman" w:hAnsi="Times New Roman" w:eastAsia="Times New Roman" w:cs="Times New Roman"/>
          <w:sz w:val="21"/>
          <w:szCs w:val="21"/>
          <w:u w:val="none"/>
        </w:rPr>
        <w:t xml:space="preserve">for infrastructure assets of categories 1 and 2. </w:t>
      </w:r>
    </w:p>
    <w:p>
      <w:pPr>
        <w:pStyle w:val="26"/>
        <w:spacing w:before="240" w:after="120" w:line="240" w:lineRule="auto"/>
        <w:ind w:left="0" w:firstLine="426"/>
        <w:contextualSpacing w:val="0"/>
        <w:jc w:val="center"/>
        <w:rPr>
          <w:rFonts w:ascii="Times New Roman" w:hAnsi="Times New Roman" w:cs="Times New Roman"/>
          <w:sz w:val="24"/>
          <w:szCs w:val="24"/>
          <w:u w:val="none"/>
        </w:rPr>
      </w:pPr>
      <w:r>
        <w:rPr>
          <w:rFonts w:ascii="Times New Roman" w:hAnsi="Times New Roman" w:cs="Times New Roman"/>
          <w:sz w:val="21"/>
          <w:szCs w:val="21"/>
          <w:u w:val="none"/>
          <w:lang w:val="es-ES" w:eastAsia="es-ES"/>
        </w:rPr>
        <w:drawing>
          <wp:inline distT="0" distB="0" distL="0" distR="0">
            <wp:extent cx="5199380" cy="3552825"/>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02061" cy="3554797"/>
                    </a:xfrm>
                    <a:prstGeom prst="rect">
                      <a:avLst/>
                    </a:prstGeom>
                    <a:noFill/>
                    <a:ln>
                      <a:noFill/>
                    </a:ln>
                  </pic:spPr>
                </pic:pic>
              </a:graphicData>
            </a:graphic>
          </wp:inline>
        </w:drawing>
      </w:r>
      <w:r>
        <w:rPr>
          <w:rFonts w:ascii="Times New Roman" w:hAnsi="Times New Roman" w:cs="Times New Roman"/>
          <w:b/>
          <w:sz w:val="20"/>
          <w:szCs w:val="20"/>
          <w:u w:val="none"/>
        </w:rPr>
        <w:t xml:space="preserve">Figure 5. </w:t>
      </w:r>
      <w:r>
        <w:rPr>
          <w:rFonts w:ascii="Times New Roman" w:hAnsi="Times New Roman" w:cs="Times New Roman"/>
          <w:sz w:val="20"/>
          <w:szCs w:val="20"/>
          <w:u w:val="none"/>
        </w:rPr>
        <w:t xml:space="preserve">The effect of interest rates in the value of 5 categories of infrastructure assets. This figure shows how the value of an investment of CAD 100 million in an economy with a risk-free interest rate at 1% changes when there is a permanent increase in the risk-free rate for the 5 categories of infrastructure assets. </w:t>
      </w:r>
    </w:p>
    <w:p>
      <w:pPr>
        <w:pStyle w:val="26"/>
        <w:spacing w:after="0" w:line="276" w:lineRule="auto"/>
        <w:ind w:left="0"/>
        <w:contextualSpacing w:val="0"/>
        <w:jc w:val="both"/>
        <w:rPr>
          <w:rFonts w:ascii="Times New Roman" w:hAnsi="Times New Roman" w:eastAsia="Times New Roman" w:cs="Times New Roman"/>
          <w:sz w:val="21"/>
          <w:szCs w:val="21"/>
          <w:u w:val="none"/>
        </w:rPr>
      </w:pP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Second, the decrease in value with an increase in interest rates is lower for assets of category 2 than the decrease for category 1 assets because cash flows of the former can increase with inflation while cash flows of the latter are constant. Therefore, the cash flow effect is higher for assets of category 2 than for assets of category 1.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Third, the effect of interest rates in the value of assets of category 3 is low. This result suggests that the </w:t>
      </w:r>
      <w:r>
        <w:rPr>
          <w:rFonts w:ascii="Times New Roman" w:hAnsi="Times New Roman" w:eastAsia="Times New Roman" w:cs="Times New Roman"/>
          <w:i/>
          <w:sz w:val="21"/>
          <w:szCs w:val="21"/>
          <w:u w:val="none"/>
        </w:rPr>
        <w:t xml:space="preserve">discount rate </w:t>
      </w:r>
      <w:r>
        <w:rPr>
          <w:rFonts w:ascii="Times New Roman" w:hAnsi="Times New Roman" w:eastAsia="Times New Roman" w:cs="Times New Roman"/>
          <w:sz w:val="21"/>
          <w:szCs w:val="21"/>
          <w:u w:val="none"/>
        </w:rPr>
        <w:t xml:space="preserve">has an effect of slightly lower magnitude than the </w:t>
      </w:r>
      <w:r>
        <w:rPr>
          <w:rFonts w:ascii="Times New Roman" w:hAnsi="Times New Roman" w:eastAsia="Times New Roman" w:cs="Times New Roman"/>
          <w:i/>
          <w:sz w:val="21"/>
          <w:szCs w:val="21"/>
          <w:u w:val="none"/>
        </w:rPr>
        <w:t>cash flow effect</w:t>
      </w:r>
      <w:r>
        <w:rPr>
          <w:rFonts w:ascii="Times New Roman" w:hAnsi="Times New Roman" w:eastAsia="Times New Roman" w:cs="Times New Roman"/>
          <w:sz w:val="21"/>
          <w:szCs w:val="21"/>
          <w:u w:val="none"/>
        </w:rPr>
        <w:t>. The results from the parameterization of the model show that a 6% increase in interest rates from 1% to 7% for assets of this category would increase the value of the asset by 13%.</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Fourth, the magnitude of the effect of interest rates in the value of assets of category 4 is relevant. Therefore, the </w:t>
      </w:r>
      <w:r>
        <w:rPr>
          <w:rFonts w:ascii="Times New Roman" w:hAnsi="Times New Roman" w:eastAsia="Times New Roman" w:cs="Times New Roman"/>
          <w:i/>
          <w:sz w:val="21"/>
          <w:szCs w:val="21"/>
          <w:u w:val="none"/>
        </w:rPr>
        <w:t xml:space="preserve">discount rate </w:t>
      </w:r>
      <w:r>
        <w:rPr>
          <w:rFonts w:ascii="Times New Roman" w:hAnsi="Times New Roman" w:eastAsia="Times New Roman" w:cs="Times New Roman"/>
          <w:sz w:val="21"/>
          <w:szCs w:val="21"/>
          <w:u w:val="none"/>
        </w:rPr>
        <w:t xml:space="preserve">has an effect of lower magnitude than the </w:t>
      </w:r>
      <w:r>
        <w:rPr>
          <w:rFonts w:ascii="Times New Roman" w:hAnsi="Times New Roman" w:eastAsia="Times New Roman" w:cs="Times New Roman"/>
          <w:i/>
          <w:sz w:val="21"/>
          <w:szCs w:val="21"/>
          <w:u w:val="none"/>
        </w:rPr>
        <w:t>cash flow effect</w:t>
      </w:r>
      <w:r>
        <w:rPr>
          <w:rFonts w:ascii="Times New Roman" w:hAnsi="Times New Roman" w:eastAsia="Times New Roman" w:cs="Times New Roman"/>
          <w:sz w:val="21"/>
          <w:szCs w:val="21"/>
          <w:u w:val="none"/>
        </w:rPr>
        <w:t xml:space="preserve"> for this category of assets. The results from the model show that a 6% increase in interest rates from 1% to 7% would increase the value of the asset by 21%.</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Fifth, there is a high positive relationship between interest rates and the value of assets of category 5 because the </w:t>
      </w:r>
      <w:r>
        <w:rPr>
          <w:rFonts w:ascii="Times New Roman" w:hAnsi="Times New Roman" w:eastAsia="Times New Roman" w:cs="Times New Roman"/>
          <w:i/>
          <w:sz w:val="21"/>
          <w:szCs w:val="21"/>
          <w:u w:val="none"/>
        </w:rPr>
        <w:t>cash flow effect</w:t>
      </w:r>
      <w:r>
        <w:rPr>
          <w:rFonts w:ascii="Times New Roman" w:hAnsi="Times New Roman" w:eastAsia="Times New Roman" w:cs="Times New Roman"/>
          <w:sz w:val="21"/>
          <w:szCs w:val="21"/>
          <w:u w:val="none"/>
        </w:rPr>
        <w:t xml:space="preserve"> clearly dominates the </w:t>
      </w:r>
      <w:r>
        <w:rPr>
          <w:rFonts w:ascii="Times New Roman" w:hAnsi="Times New Roman" w:eastAsia="Times New Roman" w:cs="Times New Roman"/>
          <w:i/>
          <w:sz w:val="21"/>
          <w:szCs w:val="21"/>
          <w:u w:val="none"/>
        </w:rPr>
        <w:t>discount rate effect</w:t>
      </w:r>
      <w:r>
        <w:rPr>
          <w:rFonts w:ascii="Times New Roman" w:hAnsi="Times New Roman" w:eastAsia="Times New Roman" w:cs="Times New Roman"/>
          <w:sz w:val="21"/>
          <w:szCs w:val="21"/>
          <w:u w:val="none"/>
        </w:rPr>
        <w:t xml:space="preserve"> for this category of assets. The results from the model show that a 6% increase in interest rates from 1% to 7% would increase the value of the asset by 61%. Overall, the value of asset categories 4 and 5 increase with interest rates, while the value of asset categories 1 and 2 decrease.</w:t>
      </w:r>
    </w:p>
    <w:p>
      <w:pPr>
        <w:spacing w:line="276" w:lineRule="auto"/>
        <w:rPr>
          <w:rFonts w:ascii="Times New Roman" w:hAnsi="Times New Roman" w:cs="Times New Roman"/>
          <w:szCs w:val="21"/>
          <w:u w:val="none"/>
        </w:rPr>
      </w:pPr>
      <w:r>
        <w:rPr>
          <w:rFonts w:ascii="Times New Roman" w:hAnsi="Times New Roman" w:cs="Times New Roman"/>
          <w:szCs w:val="21"/>
          <w:u w:val="none"/>
          <w:lang w:val="es-ES" w:eastAsia="es-ES"/>
        </w:rPr>
        <w:drawing>
          <wp:inline distT="0" distB="0" distL="0" distR="0">
            <wp:extent cx="2633980" cy="17995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34105" cy="1800000"/>
                    </a:xfrm>
                    <a:prstGeom prst="rect">
                      <a:avLst/>
                    </a:prstGeom>
                    <a:noFill/>
                    <a:ln>
                      <a:noFill/>
                    </a:ln>
                  </pic:spPr>
                </pic:pic>
              </a:graphicData>
            </a:graphic>
          </wp:inline>
        </w:drawing>
      </w:r>
      <w:r>
        <w:rPr>
          <w:rFonts w:ascii="Times New Roman" w:hAnsi="Times New Roman" w:cs="Times New Roman"/>
          <w:szCs w:val="21"/>
          <w:u w:val="none"/>
          <w:lang w:val="es-ES" w:eastAsia="es-ES"/>
        </w:rPr>
        <w:drawing>
          <wp:inline distT="0" distB="0" distL="0" distR="0">
            <wp:extent cx="2633980" cy="17995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34105" cy="1800000"/>
                    </a:xfrm>
                    <a:prstGeom prst="rect">
                      <a:avLst/>
                    </a:prstGeom>
                    <a:noFill/>
                    <a:ln>
                      <a:noFill/>
                    </a:ln>
                  </pic:spPr>
                </pic:pic>
              </a:graphicData>
            </a:graphic>
          </wp:inline>
        </w:drawing>
      </w:r>
    </w:p>
    <w:p>
      <w:pPr>
        <w:spacing w:after="80"/>
        <w:ind w:left="1391" w:firstLine="289"/>
        <w:rPr>
          <w:rFonts w:ascii="Times New Roman" w:hAnsi="Times New Roman" w:cs="Times New Roman"/>
          <w:szCs w:val="21"/>
          <w:u w:val="none"/>
        </w:rPr>
      </w:pPr>
      <w:r>
        <w:rPr>
          <w:rFonts w:ascii="Century" w:hAnsi="Century" w:cs="Times New Roman"/>
          <w:szCs w:val="21"/>
          <w:u w:val="none"/>
        </w:rPr>
        <w:t>γ</w:t>
      </w:r>
      <w:r>
        <w:rPr>
          <w:rFonts w:ascii="Times New Roman" w:hAnsi="Times New Roman" w:cs="Times New Roman"/>
          <w:szCs w:val="21"/>
          <w:u w:val="none"/>
        </w:rPr>
        <w:t xml:space="preserve">= 0.25   </w:t>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 xml:space="preserve">  </w:t>
      </w:r>
      <w:r>
        <w:rPr>
          <w:rFonts w:ascii="Century" w:hAnsi="Century" w:cs="Times New Roman"/>
          <w:szCs w:val="21"/>
          <w:u w:val="none"/>
        </w:rPr>
        <w:t>γ</w:t>
      </w:r>
      <w:r>
        <w:rPr>
          <w:rFonts w:ascii="Times New Roman" w:hAnsi="Times New Roman" w:cs="Times New Roman"/>
          <w:szCs w:val="21"/>
          <w:u w:val="none"/>
        </w:rPr>
        <w:t xml:space="preserve">= 0.55   </w:t>
      </w:r>
    </w:p>
    <w:p>
      <w:pPr>
        <w:spacing w:line="276" w:lineRule="auto"/>
        <w:ind w:firstLine="1"/>
        <w:jc w:val="center"/>
        <w:rPr>
          <w:rFonts w:ascii="Times New Roman" w:hAnsi="Times New Roman" w:cs="Times New Roman"/>
          <w:szCs w:val="21"/>
          <w:u w:val="none"/>
        </w:rPr>
      </w:pPr>
      <w:r>
        <w:rPr>
          <w:rFonts w:ascii="Times New Roman" w:hAnsi="Times New Roman" w:cs="Times New Roman"/>
          <w:szCs w:val="21"/>
          <w:u w:val="none"/>
        </w:rPr>
        <w:t>Panel A. Sensitivity to traffic growth parameter</w:t>
      </w:r>
    </w:p>
    <w:p>
      <w:pPr>
        <w:spacing w:line="276" w:lineRule="auto"/>
        <w:jc w:val="center"/>
        <w:rPr>
          <w:rFonts w:ascii="Times New Roman" w:hAnsi="Times New Roman" w:cs="Times New Roman" w:eastAsiaTheme="minorHAnsi"/>
          <w:szCs w:val="21"/>
          <w:u w:val="none"/>
          <w:lang w:eastAsia="en-US"/>
        </w:rPr>
      </w:pPr>
      <w:r>
        <w:rPr>
          <w:rFonts w:ascii="Times New Roman" w:hAnsi="Times New Roman" w:cs="Times New Roman"/>
          <w:szCs w:val="21"/>
          <w:u w:val="none"/>
          <w:lang w:val="es-ES" w:eastAsia="es-ES"/>
        </w:rPr>
        <w:drawing>
          <wp:inline distT="0" distB="0" distL="0" distR="0">
            <wp:extent cx="2633980" cy="1799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34105" cy="1800000"/>
                    </a:xfrm>
                    <a:prstGeom prst="rect">
                      <a:avLst/>
                    </a:prstGeom>
                    <a:noFill/>
                    <a:ln>
                      <a:noFill/>
                    </a:ln>
                  </pic:spPr>
                </pic:pic>
              </a:graphicData>
            </a:graphic>
          </wp:inline>
        </w:drawing>
      </w:r>
      <w:r>
        <w:rPr>
          <w:rFonts w:ascii="Times New Roman" w:hAnsi="Times New Roman" w:cs="Times New Roman"/>
          <w:szCs w:val="21"/>
          <w:u w:val="none"/>
          <w:lang w:val="es-ES" w:eastAsia="es-ES"/>
        </w:rPr>
        <w:drawing>
          <wp:inline distT="0" distB="0" distL="0" distR="0">
            <wp:extent cx="2633980" cy="17995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4105" cy="1800000"/>
                    </a:xfrm>
                    <a:prstGeom prst="rect">
                      <a:avLst/>
                    </a:prstGeom>
                    <a:noFill/>
                    <a:ln>
                      <a:noFill/>
                    </a:ln>
                  </pic:spPr>
                </pic:pic>
              </a:graphicData>
            </a:graphic>
          </wp:inline>
        </w:drawing>
      </w:r>
    </w:p>
    <w:p>
      <w:pPr>
        <w:spacing w:after="80"/>
        <w:ind w:left="420" w:firstLine="420"/>
        <w:rPr>
          <w:rFonts w:ascii="Times New Roman" w:hAnsi="Times New Roman" w:cs="Times New Roman"/>
          <w:sz w:val="20"/>
          <w:u w:val="none"/>
        </w:rPr>
      </w:pPr>
      <w:bookmarkStart w:id="1" w:name="_Hlk515031154"/>
      <w:r>
        <w:rPr>
          <w:rFonts w:ascii="Times New Roman" w:hAnsi="Times New Roman" w:cs="Times New Roman"/>
          <w:sz w:val="20"/>
          <w:u w:val="none"/>
        </w:rPr>
        <w:t>δ</w:t>
      </w:r>
      <w:r>
        <w:rPr>
          <w:rFonts w:ascii="Times New Roman" w:hAnsi="Times New Roman" w:cs="Times New Roman"/>
          <w:sz w:val="20"/>
          <w:u w:val="none"/>
          <w:vertAlign w:val="subscript"/>
        </w:rPr>
        <w:t>1</w:t>
      </w:r>
      <w:r>
        <w:rPr>
          <w:rFonts w:ascii="Times New Roman" w:hAnsi="Times New Roman" w:cs="Times New Roman"/>
          <w:sz w:val="20"/>
          <w:u w:val="none"/>
        </w:rPr>
        <w:t xml:space="preserve"> = 0.1 and δ</w:t>
      </w:r>
      <w:r>
        <w:rPr>
          <w:rFonts w:ascii="Times New Roman" w:hAnsi="Times New Roman" w:cs="Times New Roman"/>
          <w:sz w:val="20"/>
          <w:u w:val="none"/>
          <w:vertAlign w:val="subscript"/>
        </w:rPr>
        <w:t>2</w:t>
      </w:r>
      <w:r>
        <w:rPr>
          <w:rFonts w:ascii="Times New Roman" w:hAnsi="Times New Roman" w:cs="Times New Roman"/>
          <w:sz w:val="20"/>
          <w:u w:val="none"/>
        </w:rPr>
        <w:t xml:space="preserve"> = 0.8     </w:t>
      </w:r>
      <w:bookmarkEnd w:id="1"/>
      <w:r>
        <w:rPr>
          <w:rFonts w:ascii="Times New Roman" w:hAnsi="Times New Roman" w:cs="Times New Roman"/>
          <w:sz w:val="20"/>
          <w:u w:val="none"/>
        </w:rPr>
        <w:tab/>
      </w:r>
      <w:r>
        <w:rPr>
          <w:rFonts w:ascii="Times New Roman" w:hAnsi="Times New Roman" w:cs="Times New Roman"/>
          <w:sz w:val="20"/>
          <w:u w:val="none"/>
        </w:rPr>
        <w:tab/>
      </w:r>
      <w:r>
        <w:rPr>
          <w:rFonts w:ascii="Times New Roman" w:hAnsi="Times New Roman" w:cs="Times New Roman"/>
          <w:sz w:val="20"/>
          <w:u w:val="none"/>
        </w:rPr>
        <w:tab/>
      </w:r>
      <w:r>
        <w:rPr>
          <w:rFonts w:ascii="Times New Roman" w:hAnsi="Times New Roman" w:cs="Times New Roman"/>
          <w:sz w:val="20"/>
          <w:u w:val="none"/>
        </w:rPr>
        <w:t xml:space="preserve">    </w:t>
      </w:r>
      <w:bookmarkStart w:id="2" w:name="_Hlk515031171"/>
      <w:r>
        <w:rPr>
          <w:rFonts w:ascii="Times New Roman" w:hAnsi="Times New Roman" w:cs="Times New Roman"/>
          <w:sz w:val="20"/>
          <w:u w:val="none"/>
        </w:rPr>
        <w:t>δ</w:t>
      </w:r>
      <w:r>
        <w:rPr>
          <w:rFonts w:ascii="Times New Roman" w:hAnsi="Times New Roman" w:cs="Times New Roman"/>
          <w:sz w:val="20"/>
          <w:u w:val="none"/>
          <w:vertAlign w:val="subscript"/>
        </w:rPr>
        <w:t>1</w:t>
      </w:r>
      <w:r>
        <w:rPr>
          <w:rFonts w:ascii="Times New Roman" w:hAnsi="Times New Roman" w:cs="Times New Roman"/>
          <w:sz w:val="20"/>
          <w:u w:val="none"/>
        </w:rPr>
        <w:t xml:space="preserve"> = 0.3 and δ</w:t>
      </w:r>
      <w:r>
        <w:rPr>
          <w:rFonts w:ascii="Times New Roman" w:hAnsi="Times New Roman" w:cs="Times New Roman"/>
          <w:sz w:val="20"/>
          <w:u w:val="none"/>
          <w:vertAlign w:val="subscript"/>
        </w:rPr>
        <w:t>2</w:t>
      </w:r>
      <w:r>
        <w:rPr>
          <w:rFonts w:ascii="Times New Roman" w:hAnsi="Times New Roman" w:cs="Times New Roman"/>
          <w:sz w:val="20"/>
          <w:u w:val="none"/>
        </w:rPr>
        <w:t xml:space="preserve"> = 1.0     </w:t>
      </w:r>
      <w:bookmarkEnd w:id="2"/>
    </w:p>
    <w:p>
      <w:pPr>
        <w:spacing w:line="276" w:lineRule="auto"/>
        <w:ind w:firstLine="1"/>
        <w:jc w:val="center"/>
        <w:rPr>
          <w:rFonts w:ascii="Times New Roman" w:hAnsi="Times New Roman" w:cs="Times New Roman"/>
          <w:szCs w:val="21"/>
          <w:u w:val="none"/>
        </w:rPr>
      </w:pPr>
      <w:r>
        <w:rPr>
          <w:rFonts w:ascii="Times New Roman" w:hAnsi="Times New Roman" w:cs="Times New Roman"/>
          <w:szCs w:val="21"/>
          <w:u w:val="none"/>
        </w:rPr>
        <w:t>Panel B. Sensitivity to GDP growth parameters</w:t>
      </w:r>
    </w:p>
    <w:p>
      <w:pPr>
        <w:spacing w:line="276" w:lineRule="auto"/>
        <w:jc w:val="center"/>
        <w:rPr>
          <w:rFonts w:ascii="Times New Roman" w:hAnsi="Times New Roman" w:cs="Times New Roman" w:eastAsiaTheme="minorHAnsi"/>
          <w:szCs w:val="21"/>
          <w:u w:val="none"/>
          <w:lang w:eastAsia="en-US"/>
        </w:rPr>
      </w:pPr>
      <w:r>
        <w:rPr>
          <w:rFonts w:ascii="Times New Roman" w:hAnsi="Times New Roman" w:cs="Times New Roman"/>
          <w:szCs w:val="21"/>
          <w:u w:val="none"/>
          <w:lang w:val="es-ES" w:eastAsia="es-ES"/>
        </w:rPr>
        <w:drawing>
          <wp:inline distT="0" distB="0" distL="0" distR="0">
            <wp:extent cx="2633345" cy="17995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33533" cy="1800000"/>
                    </a:xfrm>
                    <a:prstGeom prst="rect">
                      <a:avLst/>
                    </a:prstGeom>
                    <a:noFill/>
                    <a:ln>
                      <a:noFill/>
                    </a:ln>
                  </pic:spPr>
                </pic:pic>
              </a:graphicData>
            </a:graphic>
          </wp:inline>
        </w:drawing>
      </w:r>
      <w:r>
        <w:rPr>
          <w:rFonts w:ascii="Times New Roman" w:hAnsi="Times New Roman" w:cs="Times New Roman"/>
          <w:szCs w:val="21"/>
          <w:u w:val="none"/>
          <w:lang w:val="es-ES" w:eastAsia="es-ES"/>
        </w:rPr>
        <w:drawing>
          <wp:inline distT="0" distB="0" distL="0" distR="0">
            <wp:extent cx="2633345" cy="17995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33534" cy="1800000"/>
                    </a:xfrm>
                    <a:prstGeom prst="rect">
                      <a:avLst/>
                    </a:prstGeom>
                    <a:noFill/>
                    <a:ln>
                      <a:noFill/>
                    </a:ln>
                  </pic:spPr>
                </pic:pic>
              </a:graphicData>
            </a:graphic>
          </wp:inline>
        </w:drawing>
      </w:r>
    </w:p>
    <w:p>
      <w:pPr>
        <w:spacing w:after="80"/>
        <w:ind w:left="420" w:firstLine="420"/>
        <w:rPr>
          <w:rFonts w:ascii="Times New Roman" w:hAnsi="Times New Roman" w:cs="Times New Roman"/>
          <w:szCs w:val="21"/>
          <w:u w:val="none"/>
        </w:rPr>
      </w:pPr>
      <w:r>
        <w:rPr>
          <w:rFonts w:ascii="Century" w:hAnsi="Century" w:cs="Times New Roman"/>
          <w:szCs w:val="21"/>
          <w:u w:val="none"/>
        </w:rPr>
        <w:t>μ</w:t>
      </w:r>
      <w:r>
        <w:rPr>
          <w:rFonts w:ascii="Times New Roman" w:hAnsi="Times New Roman" w:cs="Times New Roman"/>
          <w:szCs w:val="21"/>
          <w:u w:val="none"/>
          <w:vertAlign w:val="subscript"/>
        </w:rPr>
        <w:t>1</w:t>
      </w:r>
      <w:r>
        <w:rPr>
          <w:rFonts w:ascii="Times New Roman" w:hAnsi="Times New Roman" w:cs="Times New Roman"/>
          <w:szCs w:val="21"/>
          <w:u w:val="none"/>
        </w:rPr>
        <w:t xml:space="preserve"> = 0.000 and </w:t>
      </w:r>
      <w:r>
        <w:rPr>
          <w:rFonts w:ascii="Century" w:hAnsi="Century" w:cs="Times New Roman"/>
          <w:szCs w:val="21"/>
          <w:u w:val="none"/>
        </w:rPr>
        <w:t>μ</w:t>
      </w:r>
      <w:r>
        <w:rPr>
          <w:rFonts w:ascii="Times New Roman" w:hAnsi="Times New Roman" w:cs="Times New Roman"/>
          <w:szCs w:val="21"/>
          <w:u w:val="none"/>
          <w:vertAlign w:val="subscript"/>
        </w:rPr>
        <w:t>2</w:t>
      </w:r>
      <w:r>
        <w:rPr>
          <w:rFonts w:ascii="Times New Roman" w:hAnsi="Times New Roman" w:cs="Times New Roman"/>
          <w:szCs w:val="21"/>
          <w:u w:val="none"/>
        </w:rPr>
        <w:t xml:space="preserve"> = 0.85     </w:t>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ab/>
      </w:r>
      <w:r>
        <w:rPr>
          <w:rFonts w:ascii="Times New Roman" w:hAnsi="Times New Roman" w:cs="Times New Roman"/>
          <w:szCs w:val="21"/>
          <w:u w:val="none"/>
        </w:rPr>
        <w:t xml:space="preserve">  </w:t>
      </w:r>
      <w:r>
        <w:rPr>
          <w:rFonts w:ascii="Century" w:hAnsi="Century" w:cs="Times New Roman"/>
          <w:szCs w:val="21"/>
          <w:u w:val="none"/>
        </w:rPr>
        <w:t>μ</w:t>
      </w:r>
      <w:r>
        <w:rPr>
          <w:rFonts w:ascii="Times New Roman" w:hAnsi="Times New Roman" w:cs="Times New Roman"/>
          <w:szCs w:val="21"/>
          <w:u w:val="none"/>
          <w:vertAlign w:val="subscript"/>
        </w:rPr>
        <w:t>1</w:t>
      </w:r>
      <w:r>
        <w:rPr>
          <w:rFonts w:ascii="Times New Roman" w:hAnsi="Times New Roman" w:cs="Times New Roman"/>
          <w:szCs w:val="21"/>
          <w:u w:val="none"/>
        </w:rPr>
        <w:t xml:space="preserve"> = 0.010 and </w:t>
      </w:r>
      <w:r>
        <w:rPr>
          <w:rFonts w:ascii="Century" w:hAnsi="Century" w:cs="Times New Roman"/>
          <w:szCs w:val="21"/>
          <w:u w:val="none"/>
        </w:rPr>
        <w:t>μ</w:t>
      </w:r>
      <w:r>
        <w:rPr>
          <w:rFonts w:ascii="Times New Roman" w:hAnsi="Times New Roman" w:cs="Times New Roman"/>
          <w:szCs w:val="21"/>
          <w:u w:val="none"/>
          <w:vertAlign w:val="subscript"/>
        </w:rPr>
        <w:t>2</w:t>
      </w:r>
      <w:r>
        <w:rPr>
          <w:rFonts w:ascii="Times New Roman" w:hAnsi="Times New Roman" w:cs="Times New Roman"/>
          <w:szCs w:val="21"/>
          <w:u w:val="none"/>
        </w:rPr>
        <w:t xml:space="preserve"> = 0.95     </w:t>
      </w:r>
    </w:p>
    <w:p>
      <w:pPr>
        <w:spacing w:after="0" w:line="276" w:lineRule="auto"/>
        <w:jc w:val="center"/>
        <w:rPr>
          <w:rFonts w:ascii="Times New Roman" w:hAnsi="Times New Roman" w:cs="Times New Roman"/>
          <w:szCs w:val="21"/>
          <w:u w:val="none"/>
        </w:rPr>
      </w:pPr>
      <w:r>
        <w:rPr>
          <w:rFonts w:ascii="Times New Roman" w:hAnsi="Times New Roman" w:cs="Times New Roman"/>
          <w:szCs w:val="21"/>
          <w:u w:val="none"/>
        </w:rPr>
        <w:t>Panel C. Sensitivity to GDP per capita growth parameters</w:t>
      </w:r>
    </w:p>
    <w:p>
      <w:pPr>
        <w:pStyle w:val="26"/>
        <w:spacing w:before="240" w:after="120" w:line="240" w:lineRule="auto"/>
        <w:ind w:left="0"/>
        <w:contextualSpacing w:val="0"/>
        <w:jc w:val="center"/>
        <w:rPr>
          <w:rFonts w:ascii="Times New Roman" w:hAnsi="Times New Roman" w:eastAsia="Times New Roman" w:cs="Times New Roman"/>
          <w:sz w:val="20"/>
          <w:szCs w:val="20"/>
          <w:u w:val="none"/>
        </w:rPr>
      </w:pPr>
      <w:r>
        <w:rPr>
          <w:rFonts w:ascii="Times New Roman" w:hAnsi="Times New Roman" w:cs="Times New Roman"/>
          <w:b/>
          <w:sz w:val="20"/>
          <w:szCs w:val="20"/>
          <w:u w:val="none"/>
        </w:rPr>
        <w:t xml:space="preserve">Figure 6. </w:t>
      </w:r>
      <w:r>
        <w:rPr>
          <w:rFonts w:ascii="Times New Roman" w:hAnsi="Times New Roman" w:cs="Times New Roman"/>
          <w:sz w:val="20"/>
          <w:szCs w:val="20"/>
          <w:u w:val="none"/>
        </w:rPr>
        <w:t xml:space="preserve">Sensitivity analysis to the key parameters of the parameterization. This figure shows </w:t>
      </w:r>
      <w:r>
        <w:rPr>
          <w:rFonts w:ascii="Times New Roman" w:hAnsi="Times New Roman" w:eastAsia="Times New Roman" w:cs="Times New Roman"/>
          <w:sz w:val="20"/>
          <w:szCs w:val="20"/>
          <w:u w:val="none"/>
        </w:rPr>
        <w:t>the sensitivity of the value of the infrastructure to the traffic growth parameters (Panel A), the GDP growth parameters (Panel B), and the GDP per capita growth parameters (Panel C).</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Finally, we run a sensitivity analysis to the key parameters of the model. Figure 6 shows the results of this analysis. We specifically analyze the sensitivity to the traffic growth parameters (Panel A), the GDP growth parameters (Panel B), and the GDP per capita growth parameters (Panel C). Overall, we observe that the values of the infrastructure assets of categories 3, 4, and 5 are the most sensitive to different parameters related to traffic growth, GDP growth, and GDP per capita growth. Most importantly, the trend of the relationship between interest rates and value of the infrastructure does not change for any type of asset, except for category 3 that goes from a positive to a negative relationship when we decrease the GDP growth parameters (Panel B; left). </w:t>
      </w:r>
    </w:p>
    <w:p>
      <w:pPr>
        <w:spacing w:before="240" w:after="0" w:line="276" w:lineRule="auto"/>
        <w:rPr>
          <w:rFonts w:ascii="Times New Roman" w:hAnsi="Times New Roman" w:eastAsia="宋体" w:cs="Times New Roman"/>
          <w:b/>
          <w:bCs/>
          <w:szCs w:val="21"/>
          <w:u w:val="none"/>
        </w:rPr>
      </w:pPr>
      <w:r>
        <w:rPr>
          <w:rFonts w:ascii="Times New Roman" w:hAnsi="Times New Roman" w:cs="Times New Roman"/>
          <w:b/>
          <w:bCs/>
          <w:szCs w:val="21"/>
          <w:u w:val="none"/>
        </w:rPr>
        <w:t xml:space="preserve">5. </w:t>
      </w:r>
      <w:r>
        <w:rPr>
          <w:rFonts w:ascii="Times New Roman" w:hAnsi="Times New Roman" w:eastAsia="Times New Roman" w:cs="Times New Roman"/>
          <w:b/>
          <w:bCs/>
          <w:szCs w:val="21"/>
          <w:u w:val="none"/>
        </w:rPr>
        <w:t>C</w:t>
      </w:r>
      <w:r>
        <w:rPr>
          <w:rFonts w:ascii="Times New Roman" w:hAnsi="Times New Roman" w:eastAsia="宋体" w:cs="Times New Roman"/>
          <w:b/>
          <w:bCs/>
          <w:szCs w:val="21"/>
          <w:u w:val="none"/>
        </w:rPr>
        <w:t>onclusions</w:t>
      </w:r>
    </w:p>
    <w:p>
      <w:pPr>
        <w:pStyle w:val="26"/>
        <w:spacing w:before="12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 xml:space="preserve">Changes in interest rate have an effect on the value of infrastructure assets. On the one hand, an increase in interest rates decreases the value of infrastructure assets because it decreases the present value of their cash flows (the </w:t>
      </w:r>
      <w:r>
        <w:rPr>
          <w:rFonts w:ascii="Times New Roman" w:hAnsi="Times New Roman" w:eastAsia="Times New Roman" w:cs="Times New Roman"/>
          <w:i/>
          <w:sz w:val="21"/>
          <w:szCs w:val="21"/>
          <w:u w:val="none"/>
        </w:rPr>
        <w:t>discount rate effect</w:t>
      </w:r>
      <w:r>
        <w:rPr>
          <w:rFonts w:ascii="Times New Roman" w:hAnsi="Times New Roman" w:eastAsia="Times New Roman" w:cs="Times New Roman"/>
          <w:sz w:val="21"/>
          <w:szCs w:val="21"/>
          <w:u w:val="none"/>
        </w:rPr>
        <w:t xml:space="preserve">). On the other hand, increases in interest rates are usually related to increases in economic activity because central banks increase interest rates as a response to increases in inflation provoked by economic expansions. Therefore, an increase in interest rates increases the value of infrastructure assets because it increases the value of their cash flow (the </w:t>
      </w:r>
      <w:r>
        <w:rPr>
          <w:rFonts w:ascii="Times New Roman" w:hAnsi="Times New Roman" w:eastAsia="Times New Roman" w:cs="Times New Roman"/>
          <w:i/>
          <w:sz w:val="21"/>
          <w:szCs w:val="21"/>
          <w:u w:val="none"/>
        </w:rPr>
        <w:t>cash flow effect</w:t>
      </w:r>
      <w:r>
        <w:rPr>
          <w:rFonts w:ascii="Times New Roman" w:hAnsi="Times New Roman" w:eastAsia="Times New Roman" w:cs="Times New Roman"/>
          <w:sz w:val="21"/>
          <w:szCs w:val="21"/>
          <w:u w:val="none"/>
        </w:rPr>
        <w:t xml:space="preserve">). </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In this paper we have analyzed whether the discount effect dominates the cash flow effect. We find that the cash flow effect dominates the discount rate effect for assets with tariffs that can be adjusted to manage demand (e.g., adjustable-rate toll roads) and, therefore, the value of these assets increases in periods of increasing interest rates and economic expansion. Nevertheless, the opposite occurs for assets that do not bear demand risk (e.g., non-toll roads), in which the value of these assets decreases.</w:t>
      </w:r>
    </w:p>
    <w:p>
      <w:pPr>
        <w:pStyle w:val="26"/>
        <w:spacing w:before="240" w:after="120" w:line="276" w:lineRule="auto"/>
        <w:ind w:left="0"/>
        <w:contextualSpacing w:val="0"/>
        <w:jc w:val="both"/>
        <w:rPr>
          <w:rFonts w:ascii="Times New Roman" w:hAnsi="Times New Roman" w:eastAsia="Times New Roman" w:cs="Times New Roman"/>
          <w:sz w:val="21"/>
          <w:szCs w:val="21"/>
          <w:u w:val="none"/>
        </w:rPr>
      </w:pPr>
      <w:r>
        <w:rPr>
          <w:rFonts w:ascii="Times New Roman" w:hAnsi="Times New Roman" w:eastAsia="Times New Roman" w:cs="Times New Roman"/>
          <w:sz w:val="21"/>
          <w:szCs w:val="21"/>
          <w:u w:val="none"/>
        </w:rPr>
        <w:t>Further research could address the effects of exchange rates on the performance of infrastructure assets. For example, if the US and Canadian economies are expected to grow at a higher rate than the Euro zone, then the USD and CAD would increase their value with respect to the EUR. Therefore, an investor based in the European Union using the euro as a base currency could benefit from investing in infrastructure assets located in the US or Canada (and, therefore, with revenues collected in USD and CAD, respectively) not only because the US and Canadian economies are performing well, but because the increase in the exchange rates of the USS and CAD with respect to the EUR.</w:t>
      </w:r>
    </w:p>
    <w:p>
      <w:pPr>
        <w:rPr>
          <w:rFonts w:ascii="Times New Roman" w:hAnsi="Times New Roman" w:cs="Times New Roman"/>
          <w:b/>
          <w:sz w:val="22"/>
          <w:u w:val="none"/>
        </w:rPr>
      </w:pPr>
      <w:r>
        <w:rPr>
          <w:rFonts w:ascii="Times New Roman" w:hAnsi="Times New Roman" w:cs="Times New Roman"/>
          <w:b/>
          <w:sz w:val="22"/>
          <w:u w:val="none"/>
        </w:rPr>
        <w:t>References</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  </w:t>
      </w:r>
      <w:r>
        <w:rPr>
          <w:rFonts w:ascii="Times New Roman" w:hAnsi="Times New Roman" w:eastAsia="Times New Roman" w:cs="Times New Roman"/>
          <w:sz w:val="21"/>
          <w:szCs w:val="21"/>
          <w:u w:val="none"/>
        </w:rPr>
        <w:t xml:space="preserve">Banky RB. The Fisher hypothesis and the forecastability and persistence of inflation. </w:t>
      </w:r>
      <w:r>
        <w:rPr>
          <w:rFonts w:ascii="Times New Roman" w:hAnsi="Times New Roman" w:eastAsia="Times New Roman" w:cs="Times New Roman"/>
          <w:iCs/>
          <w:sz w:val="21"/>
          <w:szCs w:val="21"/>
          <w:u w:val="none"/>
        </w:rPr>
        <w:t>Journal of Monetary Economics</w:t>
      </w:r>
      <w:r>
        <w:rPr>
          <w:rFonts w:ascii="Times New Roman" w:hAnsi="Times New Roman" w:cs="Times New Roman" w:eastAsiaTheme="minorEastAsia"/>
          <w:sz w:val="21"/>
          <w:szCs w:val="21"/>
          <w:u w:val="none"/>
          <w:lang w:eastAsia="zh-CN"/>
        </w:rPr>
        <w:t>.1987;</w:t>
      </w:r>
      <w:r>
        <w:rPr>
          <w:rFonts w:ascii="Times New Roman" w:hAnsi="Times New Roman" w:eastAsia="Times New Roman" w:cs="Times New Roman"/>
          <w:sz w:val="21"/>
          <w:szCs w:val="21"/>
          <w:u w:val="none"/>
        </w:rPr>
        <w:t xml:space="preserve"> 19: 3-24.</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2.  </w:t>
      </w:r>
      <w:r>
        <w:rPr>
          <w:rFonts w:ascii="Times New Roman" w:hAnsi="Times New Roman" w:eastAsia="Times New Roman" w:cs="Times New Roman"/>
          <w:sz w:val="21"/>
          <w:szCs w:val="21"/>
          <w:u w:val="none"/>
        </w:rPr>
        <w:t>Fama EF. (1975) Short term interest rates as predictors of inflation.</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iCs/>
          <w:sz w:val="21"/>
          <w:szCs w:val="21"/>
          <w:u w:val="none"/>
        </w:rPr>
        <w:t>American Economic Review</w:t>
      </w:r>
      <w:r>
        <w:rPr>
          <w:rFonts w:ascii="Times New Roman" w:hAnsi="Times New Roman" w:cs="Times New Roman" w:eastAsiaTheme="minorEastAsia"/>
          <w:sz w:val="21"/>
          <w:szCs w:val="21"/>
          <w:u w:val="none"/>
          <w:lang w:eastAsia="zh-CN"/>
        </w:rPr>
        <w:t>.1975;</w:t>
      </w:r>
      <w:r>
        <w:rPr>
          <w:rFonts w:ascii="Times New Roman" w:hAnsi="Times New Roman" w:eastAsia="Times New Roman" w:cs="Times New Roman"/>
          <w:sz w:val="21"/>
          <w:szCs w:val="21"/>
          <w:u w:val="none"/>
        </w:rPr>
        <w:t xml:space="preserve"> 65: 269-282.</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3.  </w:t>
      </w:r>
      <w:r>
        <w:rPr>
          <w:rFonts w:ascii="Times New Roman" w:hAnsi="Times New Roman" w:eastAsia="Times New Roman" w:cs="Times New Roman"/>
          <w:sz w:val="21"/>
          <w:szCs w:val="21"/>
          <w:u w:val="none"/>
        </w:rPr>
        <w:t>Fama EF</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sz w:val="21"/>
          <w:szCs w:val="21"/>
          <w:u w:val="none"/>
        </w:rPr>
        <w:t>Gibbons MR. Inflation, real returns and capital investment.</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iCs/>
          <w:sz w:val="21"/>
          <w:szCs w:val="21"/>
          <w:u w:val="none"/>
        </w:rPr>
        <w:t>Journal of Monetary Economics</w:t>
      </w:r>
      <w:r>
        <w:rPr>
          <w:rFonts w:ascii="Times New Roman" w:hAnsi="Times New Roman" w:cs="Times New Roman" w:eastAsiaTheme="minorEastAsia"/>
          <w:sz w:val="21"/>
          <w:szCs w:val="21"/>
          <w:u w:val="none"/>
          <w:lang w:eastAsia="zh-CN"/>
        </w:rPr>
        <w:t>.1982;</w:t>
      </w:r>
      <w:r>
        <w:rPr>
          <w:rFonts w:ascii="Times New Roman" w:hAnsi="Times New Roman" w:eastAsia="Times New Roman" w:cs="Times New Roman"/>
          <w:sz w:val="21"/>
          <w:szCs w:val="21"/>
          <w:u w:val="none"/>
        </w:rPr>
        <w:t xml:space="preserve"> 9: 297-324.</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4.  </w:t>
      </w:r>
      <w:r>
        <w:rPr>
          <w:rFonts w:ascii="Times New Roman" w:hAnsi="Times New Roman" w:eastAsia="Times New Roman" w:cs="Times New Roman"/>
          <w:sz w:val="21"/>
          <w:szCs w:val="21"/>
          <w:u w:val="none"/>
        </w:rPr>
        <w:t>Fisher I. The theory of interest. Macmillan. New York, NY. 1930</w:t>
      </w:r>
      <w:r>
        <w:rPr>
          <w:rFonts w:ascii="Times New Roman" w:hAnsi="Times New Roman" w:cs="Times New Roman" w:eastAsiaTheme="minorEastAsia"/>
          <w:sz w:val="21"/>
          <w:szCs w:val="21"/>
          <w:u w:val="none"/>
          <w:lang w:eastAsia="zh-CN"/>
        </w:rPr>
        <w:t>.</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5.  </w:t>
      </w:r>
      <w:r>
        <w:rPr>
          <w:rFonts w:ascii="Times New Roman" w:hAnsi="Times New Roman" w:eastAsia="Times New Roman" w:cs="Times New Roman"/>
          <w:sz w:val="21"/>
          <w:szCs w:val="21"/>
          <w:u w:val="none"/>
        </w:rPr>
        <w:t xml:space="preserve">Holtz-Eakin D, Newey W, Rosen HS. Estimating vector autoregressions with panel data. </w:t>
      </w:r>
      <w:r>
        <w:rPr>
          <w:rFonts w:ascii="Times New Roman" w:hAnsi="Times New Roman" w:eastAsia="Times New Roman" w:cs="Times New Roman"/>
          <w:iCs/>
          <w:sz w:val="21"/>
          <w:szCs w:val="21"/>
          <w:u w:val="none"/>
        </w:rPr>
        <w:t>Econometrica</w:t>
      </w:r>
      <w:r>
        <w:rPr>
          <w:rFonts w:ascii="Times New Roman" w:hAnsi="Times New Roman" w:cs="Times New Roman" w:eastAsiaTheme="minorEastAsia"/>
          <w:iCs/>
          <w:sz w:val="21"/>
          <w:szCs w:val="21"/>
          <w:u w:val="none"/>
          <w:lang w:eastAsia="zh-CN"/>
        </w:rPr>
        <w:t>.1988;</w:t>
      </w:r>
      <w:r>
        <w:rPr>
          <w:rFonts w:ascii="Times New Roman" w:hAnsi="Times New Roman" w:eastAsia="Times New Roman" w:cs="Times New Roman"/>
          <w:sz w:val="21"/>
          <w:szCs w:val="21"/>
          <w:u w:val="none"/>
        </w:rPr>
        <w:t xml:space="preserve"> 56 (6): 1371–95.</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6.  </w:t>
      </w:r>
      <w:r>
        <w:rPr>
          <w:rFonts w:ascii="Times New Roman" w:hAnsi="Times New Roman" w:eastAsia="Times New Roman" w:cs="Times New Roman"/>
          <w:sz w:val="21"/>
          <w:szCs w:val="21"/>
          <w:u w:val="none"/>
        </w:rPr>
        <w:t>Huizinga J</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xml:space="preserve"> Mishkin FS. Inflation and real interest rates on assets with different risk characteristics. </w:t>
      </w:r>
      <w:r>
        <w:rPr>
          <w:rFonts w:ascii="Times New Roman" w:hAnsi="Times New Roman" w:eastAsia="Times New Roman" w:cs="Times New Roman"/>
          <w:iCs/>
          <w:sz w:val="21"/>
          <w:szCs w:val="21"/>
          <w:u w:val="none"/>
        </w:rPr>
        <w:t>The</w:t>
      </w:r>
      <w:r>
        <w:rPr>
          <w:rFonts w:ascii="Times New Roman" w:hAnsi="Times New Roman" w:eastAsia="Times New Roman" w:cs="Times New Roman"/>
          <w:sz w:val="21"/>
          <w:szCs w:val="21"/>
          <w:u w:val="none"/>
        </w:rPr>
        <w:t xml:space="preserve"> </w:t>
      </w:r>
      <w:r>
        <w:rPr>
          <w:rFonts w:ascii="Times New Roman" w:hAnsi="Times New Roman" w:eastAsia="Times New Roman" w:cs="Times New Roman"/>
          <w:iCs/>
          <w:sz w:val="21"/>
          <w:szCs w:val="21"/>
          <w:u w:val="none"/>
        </w:rPr>
        <w:t>Journal of Finance</w:t>
      </w:r>
      <w:r>
        <w:rPr>
          <w:rFonts w:ascii="Times New Roman" w:hAnsi="Times New Roman" w:cs="Times New Roman" w:eastAsiaTheme="minorEastAsia"/>
          <w:iCs/>
          <w:sz w:val="21"/>
          <w:szCs w:val="21"/>
          <w:u w:val="none"/>
          <w:lang w:eastAsia="zh-CN"/>
        </w:rPr>
        <w:t>,1984;</w:t>
      </w:r>
      <w:r>
        <w:rPr>
          <w:rFonts w:ascii="Times New Roman" w:hAnsi="Times New Roman" w:eastAsia="Times New Roman" w:cs="Times New Roman"/>
          <w:sz w:val="21"/>
          <w:szCs w:val="21"/>
          <w:u w:val="none"/>
        </w:rPr>
        <w:t xml:space="preserve"> 39: 699-712.</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7.  </w:t>
      </w:r>
      <w:r>
        <w:rPr>
          <w:rFonts w:ascii="Times New Roman" w:hAnsi="Times New Roman" w:eastAsia="Times New Roman" w:cs="Times New Roman"/>
          <w:sz w:val="21"/>
          <w:szCs w:val="21"/>
          <w:u w:val="none"/>
        </w:rPr>
        <w:t>Hutzinga</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sz w:val="21"/>
          <w:szCs w:val="21"/>
          <w:u w:val="none"/>
        </w:rPr>
        <w:t>J</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xml:space="preserve"> Mishkin FS</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xml:space="preserve"> Monetary policy regime shifts and the unusual behavior of real interest rates. </w:t>
      </w:r>
      <w:r>
        <w:rPr>
          <w:rFonts w:ascii="Times New Roman" w:hAnsi="Times New Roman" w:eastAsia="Times New Roman" w:cs="Times New Roman"/>
          <w:iCs/>
          <w:sz w:val="21"/>
          <w:szCs w:val="21"/>
          <w:u w:val="none"/>
        </w:rPr>
        <w:t>Carnegie-Rochester Conference Series on Public Policy</w:t>
      </w:r>
      <w:r>
        <w:rPr>
          <w:rFonts w:ascii="Times New Roman" w:hAnsi="Times New Roman" w:cs="Times New Roman" w:eastAsiaTheme="minorEastAsia"/>
          <w:iCs/>
          <w:sz w:val="21"/>
          <w:szCs w:val="21"/>
          <w:u w:val="none"/>
          <w:lang w:eastAsia="zh-CN"/>
        </w:rPr>
        <w:t>.1986;</w:t>
      </w:r>
      <w:r>
        <w:rPr>
          <w:rFonts w:ascii="Times New Roman" w:hAnsi="Times New Roman" w:eastAsia="Times New Roman" w:cs="Times New Roman"/>
          <w:sz w:val="21"/>
          <w:szCs w:val="21"/>
          <w:u w:val="none"/>
        </w:rPr>
        <w:t xml:space="preserve"> 24: 231-274.</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8. </w:t>
      </w:r>
      <w:r>
        <w:rPr>
          <w:rFonts w:ascii="Times New Roman" w:hAnsi="Times New Roman" w:eastAsia="Times New Roman" w:cs="Times New Roman"/>
          <w:sz w:val="21"/>
          <w:szCs w:val="21"/>
          <w:u w:val="none"/>
        </w:rPr>
        <w:t>Kamin</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sz w:val="21"/>
          <w:szCs w:val="21"/>
          <w:u w:val="none"/>
        </w:rPr>
        <w:t>SB, Rogers JH. Output and the real exchange rate in developing countries: an application to Mexico. </w:t>
      </w:r>
      <w:r>
        <w:rPr>
          <w:rFonts w:ascii="Times New Roman" w:hAnsi="Times New Roman" w:eastAsia="Times New Roman" w:cs="Times New Roman"/>
          <w:iCs/>
          <w:sz w:val="21"/>
          <w:szCs w:val="21"/>
          <w:u w:val="none"/>
        </w:rPr>
        <w:t>Journal of Development Economics</w:t>
      </w:r>
      <w:r>
        <w:rPr>
          <w:rFonts w:ascii="Times New Roman" w:hAnsi="Times New Roman" w:eastAsia="Times New Roman" w:cs="Times New Roman"/>
          <w:i/>
          <w:iCs/>
          <w:sz w:val="21"/>
          <w:szCs w:val="21"/>
          <w:u w:val="none"/>
        </w:rPr>
        <w:t> </w:t>
      </w:r>
      <w:r>
        <w:rPr>
          <w:rFonts w:ascii="Times New Roman" w:hAnsi="Times New Roman" w:eastAsia="Times New Roman" w:cs="Times New Roman"/>
          <w:sz w:val="21"/>
          <w:szCs w:val="21"/>
          <w:u w:val="none"/>
        </w:rPr>
        <w:t>61.1 (2000): 85-109.</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9.  </w:t>
      </w:r>
      <w:r>
        <w:rPr>
          <w:rFonts w:ascii="Times New Roman" w:hAnsi="Times New Roman" w:eastAsia="Times New Roman" w:cs="Times New Roman"/>
          <w:sz w:val="21"/>
          <w:szCs w:val="21"/>
          <w:u w:val="none"/>
        </w:rPr>
        <w:t>Lee</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sz w:val="21"/>
          <w:szCs w:val="21"/>
          <w:u w:val="none"/>
        </w:rPr>
        <w:t xml:space="preserve">B. Causal relations among stock returns, interest rates, real activity, and inflation. </w:t>
      </w:r>
      <w:r>
        <w:rPr>
          <w:rFonts w:ascii="Times New Roman" w:hAnsi="Times New Roman" w:eastAsia="Times New Roman" w:cs="Times New Roman"/>
          <w:iCs/>
          <w:sz w:val="21"/>
          <w:szCs w:val="21"/>
          <w:u w:val="none"/>
        </w:rPr>
        <w:t>The Journal of Finance</w:t>
      </w:r>
      <w:r>
        <w:rPr>
          <w:rFonts w:ascii="Times New Roman" w:hAnsi="Times New Roman" w:cs="Times New Roman" w:eastAsiaTheme="minorEastAsia"/>
          <w:iCs/>
          <w:sz w:val="21"/>
          <w:szCs w:val="21"/>
          <w:u w:val="none"/>
          <w:lang w:eastAsia="zh-CN"/>
        </w:rPr>
        <w:t>, 2002;</w:t>
      </w:r>
      <w:r>
        <w:rPr>
          <w:rFonts w:ascii="Times New Roman" w:hAnsi="Times New Roman" w:eastAsia="Times New Roman" w:cs="Times New Roman"/>
          <w:sz w:val="21"/>
          <w:szCs w:val="21"/>
          <w:u w:val="none"/>
        </w:rPr>
        <w:t xml:space="preserve"> 47: 1591-1603.</w:t>
      </w:r>
    </w:p>
    <w:p>
      <w:pPr>
        <w:pStyle w:val="26"/>
        <w:spacing w:after="0" w:line="276" w:lineRule="auto"/>
        <w:ind w:left="315" w:hanging="315" w:hangingChars="15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10. </w:t>
      </w:r>
      <w:r>
        <w:rPr>
          <w:rFonts w:ascii="Times New Roman" w:hAnsi="Times New Roman" w:eastAsia="Times New Roman" w:cs="Times New Roman"/>
          <w:sz w:val="21"/>
          <w:szCs w:val="21"/>
          <w:u w:val="none"/>
        </w:rPr>
        <w:t>Mendoza EG.</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sz w:val="21"/>
          <w:szCs w:val="21"/>
          <w:u w:val="none"/>
        </w:rPr>
        <w:t>The terms of trade, the real exchange rate, and economic fluctuations. </w:t>
      </w:r>
      <w:r>
        <w:rPr>
          <w:rFonts w:ascii="Times New Roman" w:hAnsi="Times New Roman" w:eastAsia="Times New Roman" w:cs="Times New Roman"/>
          <w:iCs/>
          <w:sz w:val="21"/>
          <w:szCs w:val="21"/>
          <w:u w:val="none"/>
        </w:rPr>
        <w:t>International Economic Review</w:t>
      </w:r>
      <w:r>
        <w:rPr>
          <w:rFonts w:ascii="Times New Roman" w:hAnsi="Times New Roman" w:cs="Times New Roman" w:eastAsiaTheme="minorEastAsia"/>
          <w:sz w:val="21"/>
          <w:szCs w:val="21"/>
          <w:u w:val="none"/>
          <w:lang w:eastAsia="zh-CN"/>
        </w:rPr>
        <w:t>.1995;</w:t>
      </w:r>
      <w:r>
        <w:rPr>
          <w:rFonts w:ascii="Times New Roman" w:hAnsi="Times New Roman" w:eastAsia="Times New Roman" w:cs="Times New Roman"/>
          <w:sz w:val="21"/>
          <w:szCs w:val="21"/>
          <w:u w:val="none"/>
        </w:rPr>
        <w:t>101-137.</w:t>
      </w:r>
    </w:p>
    <w:p>
      <w:pPr>
        <w:pStyle w:val="26"/>
        <w:spacing w:after="0" w:line="276" w:lineRule="auto"/>
        <w:ind w:left="420" w:hanging="420" w:hangingChars="20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11.  </w:t>
      </w:r>
      <w:r>
        <w:rPr>
          <w:rFonts w:ascii="Times New Roman" w:hAnsi="Times New Roman" w:eastAsia="Times New Roman" w:cs="Times New Roman"/>
          <w:sz w:val="21"/>
          <w:szCs w:val="21"/>
          <w:u w:val="none"/>
        </w:rPr>
        <w:t xml:space="preserve">Mishkin FS. The real rate of interest: An empirical investigation. The cost and consequences of inflation. </w:t>
      </w:r>
      <w:r>
        <w:rPr>
          <w:rFonts w:ascii="Times New Roman" w:hAnsi="Times New Roman" w:eastAsia="Times New Roman" w:cs="Times New Roman"/>
          <w:iCs/>
          <w:sz w:val="21"/>
          <w:szCs w:val="21"/>
          <w:u w:val="none"/>
        </w:rPr>
        <w:t>Carnegie-Rochester Conference Series on Public Policy</w:t>
      </w:r>
      <w:r>
        <w:rPr>
          <w:rFonts w:ascii="Times New Roman" w:hAnsi="Times New Roman" w:cs="Times New Roman" w:eastAsiaTheme="minorEastAsia"/>
          <w:sz w:val="21"/>
          <w:szCs w:val="21"/>
          <w:u w:val="none"/>
          <w:lang w:eastAsia="zh-CN"/>
        </w:rPr>
        <w:t>.1981;</w:t>
      </w:r>
      <w:r>
        <w:rPr>
          <w:rFonts w:ascii="Times New Roman" w:hAnsi="Times New Roman" w:eastAsia="Times New Roman" w:cs="Times New Roman"/>
          <w:sz w:val="21"/>
          <w:szCs w:val="21"/>
          <w:u w:val="none"/>
        </w:rPr>
        <w:t xml:space="preserve"> 15: 151-200.</w:t>
      </w:r>
    </w:p>
    <w:p>
      <w:pPr>
        <w:pStyle w:val="26"/>
        <w:spacing w:after="0" w:line="276" w:lineRule="auto"/>
        <w:ind w:left="420" w:hanging="420" w:hangingChars="20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12.  </w:t>
      </w:r>
      <w:r>
        <w:rPr>
          <w:rFonts w:ascii="Times New Roman" w:hAnsi="Times New Roman" w:eastAsia="Times New Roman" w:cs="Times New Roman"/>
          <w:sz w:val="21"/>
          <w:szCs w:val="21"/>
          <w:u w:val="none"/>
        </w:rPr>
        <w:t>Mishkin</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xml:space="preserve"> FS.</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sz w:val="21"/>
          <w:szCs w:val="21"/>
          <w:u w:val="none"/>
        </w:rPr>
        <w:t xml:space="preserve">Understanding real interest rates. </w:t>
      </w:r>
      <w:r>
        <w:rPr>
          <w:rFonts w:ascii="Times New Roman" w:hAnsi="Times New Roman" w:eastAsia="Times New Roman" w:cs="Times New Roman"/>
          <w:iCs/>
          <w:sz w:val="21"/>
          <w:szCs w:val="21"/>
          <w:u w:val="none"/>
        </w:rPr>
        <w:t>American Journal of Agricultural Economics</w:t>
      </w:r>
      <w:r>
        <w:rPr>
          <w:rFonts w:ascii="Times New Roman" w:hAnsi="Times New Roman" w:cs="Times New Roman" w:eastAsiaTheme="minorEastAsia"/>
          <w:iCs/>
          <w:sz w:val="21"/>
          <w:szCs w:val="21"/>
          <w:u w:val="none"/>
          <w:lang w:eastAsia="zh-CN"/>
        </w:rPr>
        <w:t>.1988;</w:t>
      </w:r>
      <w:r>
        <w:rPr>
          <w:rFonts w:ascii="Times New Roman" w:hAnsi="Times New Roman" w:eastAsia="Times New Roman" w:cs="Times New Roman"/>
          <w:sz w:val="21"/>
          <w:szCs w:val="21"/>
          <w:u w:val="none"/>
        </w:rPr>
        <w:t xml:space="preserve"> 70: 1064-1072.</w:t>
      </w:r>
    </w:p>
    <w:p>
      <w:pPr>
        <w:pStyle w:val="26"/>
        <w:spacing w:after="0" w:line="276" w:lineRule="auto"/>
        <w:ind w:left="420" w:hanging="420" w:hangingChars="20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13.  </w:t>
      </w:r>
      <w:r>
        <w:rPr>
          <w:rFonts w:ascii="Times New Roman" w:hAnsi="Times New Roman" w:eastAsia="Times New Roman" w:cs="Times New Roman"/>
          <w:sz w:val="21"/>
          <w:szCs w:val="21"/>
          <w:u w:val="none"/>
        </w:rPr>
        <w:t xml:space="preserve">Mishkin FS. Is the Fischer effect for real. A reexamination of the relationship between inflation and interest rates. </w:t>
      </w:r>
      <w:r>
        <w:rPr>
          <w:rFonts w:ascii="Times New Roman" w:hAnsi="Times New Roman" w:eastAsia="Times New Roman" w:cs="Times New Roman"/>
          <w:iCs/>
          <w:sz w:val="21"/>
          <w:szCs w:val="21"/>
          <w:u w:val="none"/>
        </w:rPr>
        <w:t>Journal of Monetary Economics</w:t>
      </w:r>
      <w:r>
        <w:rPr>
          <w:rFonts w:ascii="Times New Roman" w:hAnsi="Times New Roman" w:cs="Times New Roman" w:eastAsiaTheme="minorEastAsia"/>
          <w:iCs/>
          <w:sz w:val="21"/>
          <w:szCs w:val="21"/>
          <w:u w:val="none"/>
          <w:lang w:eastAsia="zh-CN"/>
        </w:rPr>
        <w:t>.1992;</w:t>
      </w:r>
      <w:r>
        <w:rPr>
          <w:rFonts w:ascii="Times New Roman" w:hAnsi="Times New Roman" w:eastAsia="Times New Roman" w:cs="Times New Roman"/>
          <w:sz w:val="21"/>
          <w:szCs w:val="21"/>
          <w:u w:val="none"/>
        </w:rPr>
        <w:t xml:space="preserve"> 30: 195-215.</w:t>
      </w:r>
    </w:p>
    <w:p>
      <w:pPr>
        <w:pStyle w:val="26"/>
        <w:spacing w:after="0" w:line="276" w:lineRule="auto"/>
        <w:ind w:left="420" w:hanging="420" w:hangingChars="20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14.  </w:t>
      </w:r>
      <w:r>
        <w:rPr>
          <w:rFonts w:ascii="Times New Roman" w:hAnsi="Times New Roman" w:eastAsia="Times New Roman" w:cs="Times New Roman"/>
          <w:sz w:val="21"/>
          <w:szCs w:val="21"/>
          <w:u w:val="none"/>
        </w:rPr>
        <w:t>Nelson CR</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xml:space="preserve"> Schwert GW. Short-term interest rates as predictors of inflation: On testing the hypothesis that the real rate of interest is constant.</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iCs/>
          <w:sz w:val="21"/>
          <w:szCs w:val="21"/>
          <w:u w:val="none"/>
        </w:rPr>
        <w:t>American Economic Review</w:t>
      </w:r>
      <w:r>
        <w:rPr>
          <w:rFonts w:ascii="Times New Roman" w:hAnsi="Times New Roman" w:cs="Times New Roman" w:eastAsiaTheme="minorEastAsia"/>
          <w:sz w:val="21"/>
          <w:szCs w:val="21"/>
          <w:u w:val="none"/>
          <w:lang w:eastAsia="zh-CN"/>
        </w:rPr>
        <w:t>. 1977;</w:t>
      </w:r>
      <w:r>
        <w:rPr>
          <w:rFonts w:ascii="Times New Roman" w:hAnsi="Times New Roman" w:eastAsia="Times New Roman" w:cs="Times New Roman"/>
          <w:sz w:val="21"/>
          <w:szCs w:val="21"/>
          <w:u w:val="none"/>
        </w:rPr>
        <w:t xml:space="preserve"> 67: 478-486.</w:t>
      </w:r>
    </w:p>
    <w:p>
      <w:pPr>
        <w:pStyle w:val="26"/>
        <w:spacing w:after="0" w:line="276" w:lineRule="auto"/>
        <w:ind w:left="630" w:hanging="630" w:hangingChars="30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15.</w:t>
      </w:r>
      <w:r>
        <w:rPr>
          <w:rFonts w:hint="eastAsia" w:ascii="Times New Roman" w:hAnsi="Times New Roman" w:eastAsia="宋体" w:cs="Times New Roman"/>
          <w:sz w:val="21"/>
          <w:szCs w:val="21"/>
          <w:u w:val="none"/>
          <w:lang w:val="en-US" w:eastAsia="zh-CN"/>
        </w:rPr>
        <w:t xml:space="preserve">  </w:t>
      </w:r>
      <w:r>
        <w:rPr>
          <w:rFonts w:ascii="Times New Roman" w:hAnsi="Times New Roman" w:eastAsia="Times New Roman" w:cs="Times New Roman"/>
          <w:sz w:val="21"/>
          <w:szCs w:val="21"/>
          <w:u w:val="none"/>
        </w:rPr>
        <w:t>Pesaran M</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xml:space="preserve"> Hashem, Ron Smith. Estimating long-run relationships from dynamic heterogeneous panels</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xml:space="preserve"> </w:t>
      </w:r>
      <w:r>
        <w:rPr>
          <w:rFonts w:ascii="Times New Roman" w:hAnsi="Times New Roman" w:eastAsia="Times New Roman" w:cs="Times New Roman"/>
          <w:iCs/>
          <w:sz w:val="21"/>
          <w:szCs w:val="21"/>
          <w:u w:val="none"/>
        </w:rPr>
        <w:t>Journal of Econometrics</w:t>
      </w:r>
      <w:r>
        <w:rPr>
          <w:rFonts w:ascii="Times New Roman" w:hAnsi="Times New Roman" w:cs="Times New Roman" w:eastAsiaTheme="minorEastAsia"/>
          <w:iCs/>
          <w:sz w:val="21"/>
          <w:szCs w:val="21"/>
          <w:u w:val="none"/>
          <w:lang w:eastAsia="zh-CN"/>
        </w:rPr>
        <w:t>.</w:t>
      </w:r>
      <w:r>
        <w:rPr>
          <w:rFonts w:ascii="Times New Roman" w:hAnsi="Times New Roman" w:eastAsia="Times New Roman" w:cs="Times New Roman"/>
          <w:sz w:val="21"/>
          <w:szCs w:val="21"/>
          <w:u w:val="none"/>
        </w:rPr>
        <w:t xml:space="preserve"> 1995</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68 (1): 79–113.</w:t>
      </w:r>
    </w:p>
    <w:p>
      <w:pPr>
        <w:pStyle w:val="26"/>
        <w:spacing w:after="0" w:line="276" w:lineRule="auto"/>
        <w:ind w:left="420" w:hanging="420" w:hangingChars="20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16.  </w:t>
      </w:r>
      <w:r>
        <w:rPr>
          <w:rFonts w:ascii="Times New Roman" w:hAnsi="Times New Roman" w:eastAsia="Times New Roman" w:cs="Times New Roman"/>
          <w:sz w:val="21"/>
          <w:szCs w:val="21"/>
          <w:u w:val="none"/>
        </w:rPr>
        <w:t>Summers</w:t>
      </w:r>
      <w:r>
        <w:rPr>
          <w:rFonts w:ascii="Times New Roman" w:hAnsi="Times New Roman" w:cs="Times New Roman" w:eastAsiaTheme="minorEastAsia"/>
          <w:sz w:val="21"/>
          <w:szCs w:val="21"/>
          <w:u w:val="none"/>
          <w:lang w:eastAsia="zh-CN"/>
        </w:rPr>
        <w:t xml:space="preserve"> </w:t>
      </w:r>
      <w:r>
        <w:rPr>
          <w:rFonts w:ascii="Times New Roman" w:hAnsi="Times New Roman" w:eastAsia="Times New Roman" w:cs="Times New Roman"/>
          <w:sz w:val="21"/>
          <w:szCs w:val="21"/>
          <w:u w:val="none"/>
        </w:rPr>
        <w:t xml:space="preserve">LH. The non-adjustment of nominal interest rates: A study of the Fisher effect in: James Tobin. ed., </w:t>
      </w:r>
      <w:r>
        <w:rPr>
          <w:rFonts w:ascii="Times New Roman" w:hAnsi="Times New Roman" w:eastAsia="Times New Roman" w:cs="Times New Roman"/>
          <w:iCs/>
          <w:sz w:val="21"/>
          <w:szCs w:val="21"/>
          <w:u w:val="none"/>
        </w:rPr>
        <w:t>A symposium in honor of Arthur Okun</w:t>
      </w:r>
      <w:r>
        <w:rPr>
          <w:rFonts w:ascii="Times New Roman" w:hAnsi="Times New Roman" w:eastAsia="Times New Roman" w:cs="Times New Roman"/>
          <w:sz w:val="21"/>
          <w:szCs w:val="21"/>
          <w:u w:val="none"/>
        </w:rPr>
        <w:t xml:space="preserve"> (Brookings Institution Washington, DC). </w:t>
      </w:r>
      <w:r>
        <w:rPr>
          <w:rFonts w:ascii="Times New Roman" w:hAnsi="Times New Roman" w:cs="Times New Roman" w:eastAsiaTheme="minorEastAsia"/>
          <w:sz w:val="21"/>
          <w:szCs w:val="21"/>
          <w:u w:val="none"/>
          <w:lang w:eastAsia="zh-CN"/>
        </w:rPr>
        <w:t>1983.</w:t>
      </w:r>
    </w:p>
    <w:p>
      <w:pPr>
        <w:pStyle w:val="26"/>
        <w:spacing w:after="0" w:line="276" w:lineRule="auto"/>
        <w:ind w:left="420" w:hanging="420" w:hangingChars="200"/>
        <w:jc w:val="both"/>
        <w:rPr>
          <w:rFonts w:ascii="Times New Roman" w:hAnsi="Times New Roman" w:eastAsia="Times New Roman" w:cs="Times New Roman"/>
          <w:sz w:val="21"/>
          <w:szCs w:val="21"/>
          <w:u w:val="none"/>
        </w:rPr>
      </w:pPr>
      <w:r>
        <w:rPr>
          <w:rFonts w:ascii="Times New Roman" w:hAnsi="Times New Roman" w:eastAsia="宋体" w:cs="Times New Roman"/>
          <w:sz w:val="21"/>
          <w:szCs w:val="21"/>
          <w:u w:val="none"/>
          <w:lang w:eastAsia="zh-CN"/>
        </w:rPr>
        <w:t xml:space="preserve">17.  </w:t>
      </w:r>
      <w:r>
        <w:rPr>
          <w:rFonts w:ascii="Times New Roman" w:hAnsi="Times New Roman" w:eastAsia="Times New Roman" w:cs="Times New Roman"/>
          <w:sz w:val="21"/>
          <w:szCs w:val="21"/>
          <w:u w:val="none"/>
        </w:rPr>
        <w:t>Taylor JB. The robustness and efficiency of monetary policy rules as guidelines for interest rate setting by the European Central Bank. </w:t>
      </w:r>
      <w:r>
        <w:rPr>
          <w:rFonts w:ascii="Times New Roman" w:hAnsi="Times New Roman" w:eastAsia="Times New Roman" w:cs="Times New Roman"/>
          <w:iCs/>
          <w:sz w:val="21"/>
          <w:szCs w:val="21"/>
          <w:u w:val="none"/>
        </w:rPr>
        <w:t>Journal of Monetary Economics</w:t>
      </w:r>
      <w:r>
        <w:rPr>
          <w:rFonts w:ascii="Times New Roman" w:hAnsi="Times New Roman" w:cs="Times New Roman" w:eastAsiaTheme="minorEastAsia"/>
          <w:sz w:val="21"/>
          <w:szCs w:val="21"/>
          <w:u w:val="none"/>
          <w:lang w:eastAsia="zh-CN"/>
        </w:rPr>
        <w:t>.1999;</w:t>
      </w:r>
      <w:r>
        <w:rPr>
          <w:rFonts w:ascii="Times New Roman" w:hAnsi="Times New Roman" w:eastAsia="Times New Roman" w:cs="Times New Roman"/>
          <w:sz w:val="21"/>
          <w:szCs w:val="21"/>
          <w:u w:val="none"/>
        </w:rPr>
        <w:t> 43.3: 655-679.</w:t>
      </w:r>
    </w:p>
    <w:p>
      <w:pPr>
        <w:pStyle w:val="26"/>
        <w:spacing w:after="0" w:line="276" w:lineRule="auto"/>
        <w:ind w:left="525" w:hanging="525" w:hangingChars="250"/>
        <w:jc w:val="both"/>
        <w:rPr>
          <w:rFonts w:ascii="Times New Roman" w:hAnsi="Times New Roman" w:eastAsia="Times New Roman" w:cs="Times New Roman"/>
          <w:iCs/>
          <w:sz w:val="21"/>
          <w:szCs w:val="21"/>
          <w:u w:val="none"/>
        </w:rPr>
      </w:pPr>
      <w:r>
        <w:rPr>
          <w:rFonts w:ascii="Times New Roman" w:hAnsi="Times New Roman" w:eastAsia="宋体" w:cs="Times New Roman"/>
          <w:sz w:val="21"/>
          <w:szCs w:val="21"/>
          <w:u w:val="none"/>
          <w:lang w:eastAsia="zh-CN"/>
        </w:rPr>
        <w:t xml:space="preserve">18.  </w:t>
      </w:r>
      <w:r>
        <w:rPr>
          <w:rFonts w:ascii="Times New Roman" w:hAnsi="Times New Roman" w:eastAsia="Times New Roman" w:cs="Times New Roman"/>
          <w:sz w:val="21"/>
          <w:szCs w:val="21"/>
          <w:u w:val="none"/>
        </w:rPr>
        <w:t>Taylor JB. Teaching modern macroeconomics at the principles level. </w:t>
      </w:r>
      <w:r>
        <w:rPr>
          <w:rFonts w:ascii="Times New Roman" w:hAnsi="Times New Roman" w:eastAsia="Times New Roman" w:cs="Times New Roman"/>
          <w:iCs/>
          <w:sz w:val="21"/>
          <w:szCs w:val="21"/>
          <w:u w:val="none"/>
        </w:rPr>
        <w:t>American Economic Review</w:t>
      </w:r>
      <w:r>
        <w:rPr>
          <w:rFonts w:ascii="Times New Roman" w:hAnsi="Times New Roman" w:cs="Times New Roman" w:eastAsiaTheme="minorEastAsia"/>
          <w:iCs/>
          <w:sz w:val="21"/>
          <w:szCs w:val="21"/>
          <w:u w:val="none"/>
          <w:lang w:eastAsia="zh-CN"/>
        </w:rPr>
        <w:t>.</w:t>
      </w:r>
      <w:r>
        <w:rPr>
          <w:rFonts w:ascii="Times New Roman" w:hAnsi="Times New Roman" w:eastAsia="Times New Roman" w:cs="Times New Roman"/>
          <w:sz w:val="21"/>
          <w:szCs w:val="21"/>
          <w:u w:val="none"/>
        </w:rPr>
        <w:t xml:space="preserve"> 2000</w:t>
      </w:r>
      <w:r>
        <w:rPr>
          <w:rFonts w:ascii="Times New Roman" w:hAnsi="Times New Roman" w:cs="Times New Roman" w:eastAsiaTheme="minorEastAsia"/>
          <w:sz w:val="21"/>
          <w:szCs w:val="21"/>
          <w:u w:val="none"/>
          <w:lang w:eastAsia="zh-CN"/>
        </w:rPr>
        <w:t>;</w:t>
      </w:r>
      <w:r>
        <w:rPr>
          <w:rFonts w:ascii="Times New Roman" w:hAnsi="Times New Roman" w:eastAsia="Times New Roman" w:cs="Times New Roman"/>
          <w:sz w:val="21"/>
          <w:szCs w:val="21"/>
          <w:u w:val="none"/>
        </w:rPr>
        <w:t> 90.2: 90-94.</w:t>
      </w:r>
    </w:p>
    <w:p>
      <w:pPr>
        <w:pStyle w:val="26"/>
        <w:spacing w:after="0" w:line="276" w:lineRule="auto"/>
        <w:ind w:left="525" w:hanging="525" w:hangingChars="250"/>
        <w:jc w:val="both"/>
        <w:rPr>
          <w:rFonts w:ascii="Times New Roman" w:hAnsi="Times New Roman" w:cs="Times New Roman" w:eastAsiaTheme="minorEastAsia"/>
          <w:sz w:val="21"/>
          <w:szCs w:val="21"/>
          <w:u w:val="none"/>
          <w:lang w:eastAsia="zh-CN"/>
        </w:rPr>
      </w:pPr>
      <w:r>
        <w:rPr>
          <w:rFonts w:ascii="Times New Roman" w:hAnsi="Times New Roman" w:eastAsia="宋体" w:cs="Times New Roman"/>
          <w:sz w:val="21"/>
          <w:szCs w:val="21"/>
          <w:u w:val="none"/>
          <w:lang w:eastAsia="zh-CN"/>
        </w:rPr>
        <w:t xml:space="preserve">19.  </w:t>
      </w:r>
      <w:r>
        <w:rPr>
          <w:rFonts w:ascii="Times New Roman" w:hAnsi="Times New Roman" w:eastAsia="Times New Roman" w:cs="Times New Roman"/>
          <w:sz w:val="21"/>
          <w:szCs w:val="21"/>
          <w:u w:val="none"/>
        </w:rPr>
        <w:t>Taylor JB. The role of the exchange rate in monetary-policy rules. </w:t>
      </w:r>
      <w:r>
        <w:rPr>
          <w:rFonts w:ascii="Times New Roman" w:hAnsi="Times New Roman" w:eastAsia="Times New Roman" w:cs="Times New Roman"/>
          <w:iCs/>
          <w:sz w:val="21"/>
          <w:szCs w:val="21"/>
          <w:u w:val="none"/>
        </w:rPr>
        <w:t>American Economic Review</w:t>
      </w:r>
      <w:r>
        <w:rPr>
          <w:rFonts w:ascii="Times New Roman" w:hAnsi="Times New Roman" w:cs="Times New Roman" w:eastAsiaTheme="minorEastAsia"/>
          <w:sz w:val="21"/>
          <w:szCs w:val="21"/>
          <w:u w:val="none"/>
          <w:lang w:eastAsia="zh-CN"/>
        </w:rPr>
        <w:t>.</w:t>
      </w:r>
      <w:r>
        <w:rPr>
          <w:rFonts w:hint="eastAsia" w:ascii="Times New Roman" w:hAnsi="Times New Roman" w:cs="Times New Roman" w:eastAsiaTheme="minorEastAsia"/>
          <w:sz w:val="21"/>
          <w:szCs w:val="21"/>
          <w:u w:val="none"/>
          <w:lang w:val="en-US" w:eastAsia="zh-CN"/>
        </w:rPr>
        <w:t xml:space="preserve"> </w:t>
      </w:r>
      <w:r>
        <w:rPr>
          <w:rFonts w:ascii="Times New Roman" w:hAnsi="Times New Roman" w:cs="Times New Roman" w:eastAsiaTheme="minorEastAsia"/>
          <w:sz w:val="21"/>
          <w:szCs w:val="21"/>
          <w:u w:val="none"/>
          <w:lang w:eastAsia="zh-CN"/>
        </w:rPr>
        <w:t>2001;</w:t>
      </w:r>
      <w:r>
        <w:rPr>
          <w:rFonts w:ascii="Times New Roman" w:hAnsi="Times New Roman" w:eastAsia="Times New Roman" w:cs="Times New Roman"/>
          <w:sz w:val="21"/>
          <w:szCs w:val="21"/>
          <w:u w:val="none"/>
        </w:rPr>
        <w:t> 91.2: 263-267.</w:t>
      </w:r>
    </w:p>
    <w:p>
      <w:pPr>
        <w:spacing w:line="276" w:lineRule="auto"/>
        <w:rPr>
          <w:rFonts w:ascii="Times New Roman" w:hAnsi="Times New Roman" w:cs="Times New Roman"/>
          <w:bCs/>
          <w:szCs w:val="21"/>
          <w:u w:val="none"/>
        </w:rPr>
      </w:pPr>
    </w:p>
    <w:sectPr>
      <w:headerReference r:id="rId5" w:type="default"/>
      <w:footerReference r:id="rId6" w:type="default"/>
      <w:pgSz w:w="11906" w:h="16838"/>
      <w:pgMar w:top="1440" w:right="1800" w:bottom="1440" w:left="1800" w:header="850" w:footer="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86"/>
    <w:family w:val="auto"/>
    <w:pitch w:val="default"/>
    <w:sig w:usb0="00000000" w:usb1="00000000" w:usb2="00000000" w:usb3="00000000" w:csb0="00000000" w:csb1="00000000"/>
  </w:font>
  <w:font w:name="Helvetica Neue">
    <w:altName w:val="Courier New"/>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10022FF" w:usb1="C000E47F" w:usb2="00000029" w:usb3="00000000" w:csb0="200001DF" w:csb1="20000000"/>
  </w:font>
  <w:font w:name="Times New 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A00002EF" w:usb1="420020EB" w:usb2="00000000" w:usb3="00000000" w:csb0="2000009F" w:csb1="00000000"/>
  </w:font>
  <w:font w:name="Century">
    <w:altName w:val="Bookman Old Style"/>
    <w:panose1 w:val="02040604050505020304"/>
    <w:charset w:val="00"/>
    <w:family w:val="roman"/>
    <w:pitch w:val="default"/>
    <w:sig w:usb0="00000000" w:usb1="00000000" w:usb2="00000000" w:usb3="00000000" w:csb0="0000009F" w:csb1="00000000"/>
  </w:font>
  <w:font w:name="Courier New">
    <w:panose1 w:val="02070309020205020404"/>
    <w:charset w:val="00"/>
    <w:family w:val="auto"/>
    <w:pitch w:val="default"/>
    <w:sig w:usb0="00007A87" w:usb1="80000000" w:usb2="00000008" w:usb3="00000000" w:csb0="400001FF" w:csb1="FFFF0000"/>
  </w:font>
  <w:font w:name="Bookman Old Style">
    <w:panose1 w:val="02050604050505020204"/>
    <w:charset w:val="00"/>
    <w:family w:val="auto"/>
    <w:pitch w:val="default"/>
    <w:sig w:usb0="00000287" w:usb1="00000000" w:usb2="00000000" w:usb3="00000000" w:csb0="2000009F" w:csb1="DFD70000"/>
  </w:font>
  <w:font w:name="等线">
    <w:altName w:val="Courier New"/>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2"/>
      </w:rPr>
      <w:id w:val="-295374699"/>
    </w:sdtPr>
    <w:sdtEndPr>
      <w:rPr>
        <w:sz w:val="22"/>
      </w:rPr>
    </w:sdtEndPr>
    <w:sdtContent>
      <w:p>
        <w:pPr>
          <w:pStyle w:val="7"/>
          <w:jc w:val="center"/>
          <w:rPr>
            <w:sz w:val="22"/>
          </w:rPr>
        </w:pPr>
        <w:r>
          <w:rPr>
            <w:sz w:val="22"/>
          </w:rPr>
          <w:fldChar w:fldCharType="begin"/>
        </w:r>
        <w:r>
          <w:rPr>
            <w:sz w:val="22"/>
          </w:rPr>
          <w:instrText xml:space="preserve"> PAGE   \* MERGEFORMAT </w:instrText>
        </w:r>
        <w:r>
          <w:rPr>
            <w:sz w:val="22"/>
          </w:rPr>
          <w:fldChar w:fldCharType="separate"/>
        </w:r>
        <w:r>
          <w:rPr>
            <w:sz w:val="22"/>
          </w:rPr>
          <w:t>16</w:t>
        </w:r>
        <w:r>
          <w:rPr>
            <w:sz w:val="22"/>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auto"/>
      <w:rPr>
        <w:rFonts w:ascii="Times New Roman" w:hAnsi="Times New Roman" w:eastAsia="Times New Roman"/>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jc w:val="both"/>
        <w:rPr>
          <w:rFonts w:ascii="Times New Roman" w:hAnsi="Times New Roman" w:cs="Times New Roman"/>
          <w:sz w:val="18"/>
          <w:szCs w:val="18"/>
          <w:lang w:val="en-US"/>
        </w:rPr>
      </w:pPr>
      <w:r>
        <w:rPr>
          <w:rStyle w:val="11"/>
          <w:rFonts w:ascii="Times New Roman" w:hAnsi="Times New Roman" w:cs="Times New Roman"/>
          <w:sz w:val="18"/>
          <w:szCs w:val="18"/>
        </w:rPr>
        <w:footnoteRef/>
      </w:r>
      <w:r>
        <w:rPr>
          <w:rFonts w:ascii="Times New Roman" w:hAnsi="Times New Roman" w:cs="Times New Roman"/>
          <w:sz w:val="18"/>
          <w:szCs w:val="18"/>
          <w:lang w:val="en-US"/>
        </w:rPr>
        <w:t xml:space="preserve"> We show the main results with traffic (quantities) and tariffs (prices) in separate tables instead of analyzing total revenues, which account for both traffic and tariffs. The reason behind this split is that infrastructure assets of category 5 present free adjustable tariffs. Therefore, the current tariff could be below the tariff that reflects the willingness-to-pay of the infrastructure users. For example, the fact that ETR 407 shows an increase in traffic (i.e., an increase in VKT) even when there is an increase in tariffs during economic recessions suggests that the tariffs of this infrastructure are lower than the </w:t>
      </w:r>
      <w:r>
        <w:rPr>
          <w:rFonts w:ascii="Times New Roman" w:hAnsi="Times New Roman" w:cs="Times New Roman"/>
          <w:i/>
          <w:sz w:val="18"/>
          <w:szCs w:val="18"/>
          <w:lang w:val="en-US"/>
        </w:rPr>
        <w:t>optimal tariff</w:t>
      </w:r>
      <w:r>
        <w:rPr>
          <w:rFonts w:ascii="Times New Roman" w:hAnsi="Times New Roman" w:cs="Times New Roman"/>
          <w:sz w:val="18"/>
          <w:szCs w:val="18"/>
          <w:lang w:val="en-US"/>
        </w:rPr>
        <w:t xml:space="preserve"> that the operator could charge in order to maximize its profits.</w:t>
      </w:r>
    </w:p>
  </w:footnote>
  <w:footnote w:id="1">
    <w:p>
      <w:pPr>
        <w:pStyle w:val="9"/>
        <w:jc w:val="both"/>
        <w:rPr>
          <w:rFonts w:ascii="Times New Roman" w:hAnsi="Times New Roman" w:cs="Times New Roman"/>
          <w:sz w:val="18"/>
          <w:szCs w:val="18"/>
          <w:lang w:val="en-US"/>
        </w:rPr>
      </w:pPr>
      <w:r>
        <w:rPr>
          <w:rStyle w:val="11"/>
          <w:rFonts w:ascii="Times New Roman" w:hAnsi="Times New Roman" w:cs="Times New Roman"/>
          <w:sz w:val="18"/>
          <w:szCs w:val="18"/>
        </w:rPr>
        <w:footnoteRef/>
      </w:r>
      <w:r>
        <w:rPr>
          <w:rFonts w:ascii="Times New Roman" w:hAnsi="Times New Roman" w:cs="Times New Roman"/>
          <w:sz w:val="18"/>
          <w:szCs w:val="18"/>
          <w:lang w:val="en-US"/>
        </w:rPr>
        <w:t xml:space="preserve"> Note that it is standard to compute the total value of an asset as the sum of expected free cash flows that this asset will produce discounted at the WACC. Equivalently, one could estimate the value of the equity of this asset using the dividend discount model (DDM) and, then, add its debt to obtain its total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2662A"/>
    <w:multiLevelType w:val="multilevel"/>
    <w:tmpl w:val="5E32662A"/>
    <w:lvl w:ilvl="0" w:tentative="0">
      <w:start w:val="1"/>
      <w:numFmt w:val="lowerRoman"/>
      <w:lvlText w:val="%1."/>
      <w:lvlJc w:val="left"/>
      <w:pPr>
        <w:ind w:left="1146" w:hanging="72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648470FA"/>
    <w:multiLevelType w:val="multilevel"/>
    <w:tmpl w:val="648470FA"/>
    <w:lvl w:ilvl="0" w:tentative="0">
      <w:start w:val="1"/>
      <w:numFmt w:val="upperLetter"/>
      <w:pStyle w:val="20"/>
      <w:suff w:val="nothing"/>
      <w:lvlText w:val="Appendix %1.   "/>
      <w:lvlJc w:val="left"/>
      <w:pPr>
        <w:ind w:left="300" w:hanging="300"/>
      </w:pPr>
      <w:rPr>
        <w:rFonts w:hint="default"/>
        <w:color w:val="auto"/>
      </w:rPr>
    </w:lvl>
    <w:lvl w:ilvl="1" w:tentative="0">
      <w:start w:val="1"/>
      <w:numFmt w:val="decimal"/>
      <w:pStyle w:val="21"/>
      <w:suff w:val="nothing"/>
      <w:lvlText w:val="%1.%2.  "/>
      <w:lvlJc w:val="left"/>
      <w:pPr>
        <w:ind w:left="510" w:hanging="510"/>
      </w:pPr>
      <w:rPr>
        <w:rFonts w:hint="default" w:ascii="Times New Roman" w:hAnsi="Times New Roman"/>
        <w:b/>
        <w:i w:val="0"/>
        <w:sz w:val="20"/>
      </w:rPr>
    </w:lvl>
    <w:lvl w:ilvl="2" w:tentative="0">
      <w:start w:val="1"/>
      <w:numFmt w:val="decimal"/>
      <w:pStyle w:val="22"/>
      <w:suff w:val="nothing"/>
      <w:lvlText w:val="%1.%2.%3.  "/>
      <w:lvlJc w:val="left"/>
      <w:pPr>
        <w:ind w:left="288" w:hanging="288"/>
      </w:pPr>
      <w:rPr>
        <w:rFonts w:hint="default"/>
        <w:b/>
        <w:i w:val="0"/>
        <w:color w:val="auto"/>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880"/>
        </w:tabs>
        <w:ind w:left="2232" w:hanging="792"/>
      </w:pPr>
      <w:rPr>
        <w:rFonts w:hint="default"/>
      </w:rPr>
    </w:lvl>
    <w:lvl w:ilvl="5" w:tentative="0">
      <w:start w:val="1"/>
      <w:numFmt w:val="decimal"/>
      <w:lvlText w:val="%1.%2.%3.%4.%5.%6."/>
      <w:lvlJc w:val="left"/>
      <w:pPr>
        <w:tabs>
          <w:tab w:val="left" w:pos="3600"/>
        </w:tabs>
        <w:ind w:left="2736" w:hanging="936"/>
      </w:pPr>
      <w:rPr>
        <w:rFonts w:hint="default"/>
      </w:rPr>
    </w:lvl>
    <w:lvl w:ilvl="6" w:tentative="0">
      <w:start w:val="1"/>
      <w:numFmt w:val="decimal"/>
      <w:lvlText w:val="%1.%2.%3.%4.%5.%6.%7."/>
      <w:lvlJc w:val="left"/>
      <w:pPr>
        <w:tabs>
          <w:tab w:val="left" w:pos="4320"/>
        </w:tabs>
        <w:ind w:left="3240" w:hanging="1080"/>
      </w:pPr>
      <w:rPr>
        <w:rFonts w:hint="default"/>
      </w:rPr>
    </w:lvl>
    <w:lvl w:ilvl="7" w:tentative="0">
      <w:start w:val="1"/>
      <w:numFmt w:val="decimal"/>
      <w:lvlText w:val="%1.%2.%3.%4.%5.%6.%7.%8."/>
      <w:lvlJc w:val="left"/>
      <w:pPr>
        <w:tabs>
          <w:tab w:val="left" w:pos="4680"/>
        </w:tabs>
        <w:ind w:left="3744" w:hanging="1224"/>
      </w:pPr>
      <w:rPr>
        <w:rFonts w:hint="default"/>
      </w:rPr>
    </w:lvl>
    <w:lvl w:ilvl="8" w:tentative="0">
      <w:start w:val="1"/>
      <w:numFmt w:val="decimal"/>
      <w:lvlText w:val="%1.%2.%3.%4.%5.%6.%7.%8.%9."/>
      <w:lvlJc w:val="left"/>
      <w:pPr>
        <w:tabs>
          <w:tab w:val="left" w:pos="540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425"/>
  <w:drawingGridHorizontalSpacing w:val="10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1"/>
    <w:rsid w:val="00004C1E"/>
    <w:rsid w:val="00033FD6"/>
    <w:rsid w:val="00052604"/>
    <w:rsid w:val="000D2F92"/>
    <w:rsid w:val="000F1593"/>
    <w:rsid w:val="000F373F"/>
    <w:rsid w:val="001543C6"/>
    <w:rsid w:val="00163FBD"/>
    <w:rsid w:val="001B0656"/>
    <w:rsid w:val="001B4E22"/>
    <w:rsid w:val="001C6492"/>
    <w:rsid w:val="001E360E"/>
    <w:rsid w:val="00231146"/>
    <w:rsid w:val="0025532F"/>
    <w:rsid w:val="0027066A"/>
    <w:rsid w:val="00270AEF"/>
    <w:rsid w:val="00285175"/>
    <w:rsid w:val="002916CF"/>
    <w:rsid w:val="002A01B3"/>
    <w:rsid w:val="002D70C6"/>
    <w:rsid w:val="002E180C"/>
    <w:rsid w:val="002E7ADD"/>
    <w:rsid w:val="00305763"/>
    <w:rsid w:val="0034056B"/>
    <w:rsid w:val="003726F0"/>
    <w:rsid w:val="00391278"/>
    <w:rsid w:val="00397C31"/>
    <w:rsid w:val="003B7080"/>
    <w:rsid w:val="003D5847"/>
    <w:rsid w:val="003F5466"/>
    <w:rsid w:val="004C21E4"/>
    <w:rsid w:val="004D4100"/>
    <w:rsid w:val="004F51FF"/>
    <w:rsid w:val="00514D6B"/>
    <w:rsid w:val="00590235"/>
    <w:rsid w:val="005B0BB2"/>
    <w:rsid w:val="00634CDE"/>
    <w:rsid w:val="00666D11"/>
    <w:rsid w:val="00671934"/>
    <w:rsid w:val="006B1FF5"/>
    <w:rsid w:val="006B3CB1"/>
    <w:rsid w:val="0070073C"/>
    <w:rsid w:val="00705178"/>
    <w:rsid w:val="007324A1"/>
    <w:rsid w:val="00736941"/>
    <w:rsid w:val="007C16BE"/>
    <w:rsid w:val="007E224E"/>
    <w:rsid w:val="007E6B3B"/>
    <w:rsid w:val="007F0BBF"/>
    <w:rsid w:val="00801144"/>
    <w:rsid w:val="008066CE"/>
    <w:rsid w:val="00807883"/>
    <w:rsid w:val="008702CA"/>
    <w:rsid w:val="008855F0"/>
    <w:rsid w:val="008D06FB"/>
    <w:rsid w:val="008F33C4"/>
    <w:rsid w:val="00922FBA"/>
    <w:rsid w:val="0094106B"/>
    <w:rsid w:val="00946640"/>
    <w:rsid w:val="009631B1"/>
    <w:rsid w:val="0096513D"/>
    <w:rsid w:val="00970224"/>
    <w:rsid w:val="0098338B"/>
    <w:rsid w:val="009D73C0"/>
    <w:rsid w:val="009E38C1"/>
    <w:rsid w:val="009F6042"/>
    <w:rsid w:val="00A06638"/>
    <w:rsid w:val="00A83A55"/>
    <w:rsid w:val="00A85C52"/>
    <w:rsid w:val="00AA2A48"/>
    <w:rsid w:val="00B21BC6"/>
    <w:rsid w:val="00B378D7"/>
    <w:rsid w:val="00BF420E"/>
    <w:rsid w:val="00C1766B"/>
    <w:rsid w:val="00C42AEB"/>
    <w:rsid w:val="00C52667"/>
    <w:rsid w:val="00C95A1B"/>
    <w:rsid w:val="00D52F3D"/>
    <w:rsid w:val="00DB19BA"/>
    <w:rsid w:val="00DC56D7"/>
    <w:rsid w:val="00DD4D88"/>
    <w:rsid w:val="00DE0F9E"/>
    <w:rsid w:val="00E02D15"/>
    <w:rsid w:val="00E45A05"/>
    <w:rsid w:val="00EB0268"/>
    <w:rsid w:val="00EF2BEC"/>
    <w:rsid w:val="00F07BE8"/>
    <w:rsid w:val="00F177BE"/>
    <w:rsid w:val="00F22A60"/>
    <w:rsid w:val="00F71CA6"/>
    <w:rsid w:val="00FF460B"/>
    <w:rsid w:val="0C012CED"/>
    <w:rsid w:val="169C5A00"/>
    <w:rsid w:val="250008FF"/>
    <w:rsid w:val="336978C8"/>
    <w:rsid w:val="47A4086E"/>
    <w:rsid w:val="484306E5"/>
    <w:rsid w:val="48DE4690"/>
    <w:rsid w:val="4B9A1EC3"/>
    <w:rsid w:val="55A369CF"/>
    <w:rsid w:val="609221DD"/>
    <w:rsid w:val="614B1AE1"/>
    <w:rsid w:val="67097C50"/>
    <w:rsid w:val="74EB538E"/>
    <w:rsid w:val="7C34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widowControl/>
      <w:suppressAutoHyphens/>
      <w:spacing w:before="240" w:after="120" w:line="260" w:lineRule="exact"/>
      <w:ind w:right="288"/>
      <w:outlineLvl w:val="0"/>
    </w:pPr>
    <w:rPr>
      <w:rFonts w:ascii="Times New Roman" w:hAnsi="Times New Roman" w:eastAsia="Times New Roman" w:cs="Times New Roman"/>
      <w:b/>
      <w:kern w:val="28"/>
      <w:sz w:val="22"/>
      <w:szCs w:val="24"/>
      <w:lang w:eastAsia="en-US"/>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8"/>
    <w:semiHidden/>
    <w:unhideWhenUsed/>
    <w:qFormat/>
    <w:uiPriority w:val="99"/>
    <w:pPr>
      <w:widowControl/>
      <w:spacing w:after="200" w:line="276" w:lineRule="auto"/>
      <w:jc w:val="left"/>
    </w:pPr>
    <w:rPr>
      <w:rFonts w:ascii="Times New Roman" w:hAnsi="Times New Roman" w:eastAsia="MS Mincho" w:cs="Times New Roman"/>
      <w:b/>
      <w:bCs/>
      <w:kern w:val="0"/>
      <w:lang w:eastAsia="ja-JP"/>
    </w:rPr>
  </w:style>
  <w:style w:type="paragraph" w:styleId="4">
    <w:name w:val="annotation text"/>
    <w:basedOn w:val="1"/>
    <w:link w:val="27"/>
    <w:semiHidden/>
    <w:unhideWhenUsed/>
    <w:uiPriority w:val="99"/>
    <w:pPr>
      <w:spacing w:line="240" w:lineRule="auto"/>
    </w:pPr>
    <w:rPr>
      <w:sz w:val="20"/>
      <w:szCs w:val="20"/>
    </w:rPr>
  </w:style>
  <w:style w:type="paragraph" w:styleId="5">
    <w:name w:val="Body Text"/>
    <w:basedOn w:val="1"/>
    <w:link w:val="25"/>
    <w:semiHidden/>
    <w:unhideWhenUsed/>
    <w:qFormat/>
    <w:uiPriority w:val="99"/>
    <w:pPr>
      <w:spacing w:after="120"/>
    </w:pPr>
  </w:style>
  <w:style w:type="paragraph" w:styleId="6">
    <w:name w:val="Balloon Text"/>
    <w:basedOn w:val="1"/>
    <w:link w:val="30"/>
    <w:semiHidden/>
    <w:unhideWhenUsed/>
    <w:uiPriority w:val="99"/>
    <w:pPr>
      <w:spacing w:after="0" w:line="240" w:lineRule="auto"/>
    </w:pPr>
    <w:rPr>
      <w:rFonts w:ascii="Segoe UI" w:hAnsi="Segoe UI" w:cs="Segoe UI"/>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9"/>
    <w:qFormat/>
    <w:uiPriority w:val="99"/>
    <w:pPr>
      <w:widowControl/>
      <w:spacing w:after="200" w:line="276" w:lineRule="auto"/>
      <w:jc w:val="left"/>
    </w:pPr>
    <w:rPr>
      <w:rFonts w:eastAsiaTheme="minorHAnsi"/>
      <w:kern w:val="0"/>
      <w:sz w:val="22"/>
      <w:lang w:val="es-ES" w:eastAsia="ja-JP"/>
    </w:rPr>
  </w:style>
  <w:style w:type="character" w:styleId="11">
    <w:name w:val="footnote reference"/>
    <w:qFormat/>
    <w:uiPriority w:val="99"/>
    <w:rPr>
      <w:vertAlign w:val="superscript"/>
    </w:rPr>
  </w:style>
  <w:style w:type="character" w:customStyle="1" w:styleId="13">
    <w:name w:val="Header Char"/>
    <w:basedOn w:val="10"/>
    <w:link w:val="8"/>
    <w:qFormat/>
    <w:uiPriority w:val="99"/>
    <w:rPr>
      <w:sz w:val="18"/>
      <w:szCs w:val="18"/>
    </w:rPr>
  </w:style>
  <w:style w:type="character" w:customStyle="1" w:styleId="14">
    <w:name w:val="Footer Char"/>
    <w:basedOn w:val="10"/>
    <w:link w:val="7"/>
    <w:qFormat/>
    <w:uiPriority w:val="99"/>
    <w:rPr>
      <w:sz w:val="18"/>
      <w:szCs w:val="18"/>
    </w:rPr>
  </w:style>
  <w:style w:type="paragraph" w:customStyle="1" w:styleId="15">
    <w:name w:val="页眉与页脚"/>
    <w:qFormat/>
    <w:uiPriority w:val="0"/>
    <w:pPr>
      <w:framePr w:wrap="around" w:vAnchor="margin" w:hAnchor="text" w:y="1"/>
      <w:tabs>
        <w:tab w:val="right" w:pos="9020"/>
      </w:tabs>
      <w:spacing w:after="160" w:line="259" w:lineRule="auto"/>
    </w:pPr>
    <w:rPr>
      <w:rFonts w:ascii="Helvetica Neue" w:hAnsi="Helvetica Neue" w:eastAsia="Arial Unicode MS" w:cs="Arial Unicode MS"/>
      <w:color w:val="000000"/>
      <w:sz w:val="24"/>
      <w:szCs w:val="24"/>
      <w:u w:color="000000"/>
      <w:lang w:val="en-US" w:eastAsia="zh-CN" w:bidi="ar-SA"/>
    </w:rPr>
  </w:style>
  <w:style w:type="paragraph" w:customStyle="1" w:styleId="16">
    <w:name w:val="Text Indent"/>
    <w:qFormat/>
    <w:uiPriority w:val="0"/>
    <w:pPr>
      <w:spacing w:after="160" w:line="260" w:lineRule="exact"/>
      <w:ind w:firstLine="302"/>
      <w:jc w:val="both"/>
    </w:pPr>
    <w:rPr>
      <w:rFonts w:ascii="Times New Roman" w:hAnsi="Times New Roman" w:eastAsia="Times New Roman" w:cs="Times New Roman"/>
      <w:lang w:val="en-US" w:eastAsia="en-US" w:bidi="ar-SA"/>
    </w:rPr>
  </w:style>
  <w:style w:type="character" w:customStyle="1" w:styleId="17">
    <w:name w:val="Heading 1 Char"/>
    <w:basedOn w:val="10"/>
    <w:link w:val="2"/>
    <w:qFormat/>
    <w:uiPriority w:val="0"/>
    <w:rPr>
      <w:rFonts w:ascii="Times New Roman" w:hAnsi="Times New Roman" w:eastAsia="Times New Roman" w:cs="Times New Roman"/>
      <w:b/>
      <w:kern w:val="28"/>
      <w:sz w:val="22"/>
      <w:szCs w:val="24"/>
      <w:lang w:eastAsia="en-US"/>
    </w:rPr>
  </w:style>
  <w:style w:type="paragraph" w:customStyle="1" w:styleId="18">
    <w:name w:val="Text"/>
    <w:basedOn w:val="1"/>
    <w:link w:val="19"/>
    <w:uiPriority w:val="0"/>
    <w:pPr>
      <w:widowControl/>
      <w:tabs>
        <w:tab w:val="right" w:pos="7200"/>
      </w:tabs>
      <w:spacing w:line="260" w:lineRule="exact"/>
    </w:pPr>
    <w:rPr>
      <w:rFonts w:ascii="Times New Roman" w:hAnsi="Times New Roman" w:eastAsia="Times New Roman" w:cs="Times New Roman"/>
      <w:kern w:val="0"/>
      <w:sz w:val="20"/>
      <w:szCs w:val="24"/>
      <w:lang w:eastAsia="en-US"/>
    </w:rPr>
  </w:style>
  <w:style w:type="character" w:customStyle="1" w:styleId="19">
    <w:name w:val="Text Char"/>
    <w:link w:val="18"/>
    <w:qFormat/>
    <w:uiPriority w:val="0"/>
    <w:rPr>
      <w:rFonts w:ascii="Times New Roman" w:hAnsi="Times New Roman" w:eastAsia="Times New Roman" w:cs="Times New Roman"/>
      <w:kern w:val="0"/>
      <w:sz w:val="20"/>
      <w:szCs w:val="24"/>
      <w:lang w:eastAsia="en-US"/>
    </w:rPr>
  </w:style>
  <w:style w:type="paragraph" w:customStyle="1" w:styleId="20">
    <w:name w:val="Appendix 1"/>
    <w:basedOn w:val="1"/>
    <w:next w:val="1"/>
    <w:qFormat/>
    <w:uiPriority w:val="0"/>
    <w:pPr>
      <w:keepNext/>
      <w:keepLines/>
      <w:widowControl/>
      <w:numPr>
        <w:ilvl w:val="0"/>
        <w:numId w:val="1"/>
      </w:numPr>
      <w:tabs>
        <w:tab w:val="left" w:pos="360"/>
      </w:tabs>
      <w:suppressAutoHyphens/>
      <w:autoSpaceDE w:val="0"/>
      <w:autoSpaceDN w:val="0"/>
      <w:spacing w:before="200" w:after="80" w:line="260" w:lineRule="exact"/>
      <w:ind w:left="360" w:hanging="360"/>
      <w:outlineLvl w:val="0"/>
    </w:pPr>
    <w:rPr>
      <w:rFonts w:ascii="Times New Roman" w:hAnsi="Times New Roman" w:eastAsia="Times New Roman" w:cs="Times New Roman"/>
      <w:b/>
      <w:kern w:val="0"/>
      <w:sz w:val="20"/>
      <w:szCs w:val="24"/>
      <w:lang w:eastAsia="en-US"/>
    </w:rPr>
  </w:style>
  <w:style w:type="paragraph" w:customStyle="1" w:styleId="21">
    <w:name w:val="Appendix 2"/>
    <w:basedOn w:val="20"/>
    <w:next w:val="1"/>
    <w:qFormat/>
    <w:uiPriority w:val="0"/>
    <w:pPr>
      <w:numPr>
        <w:ilvl w:val="1"/>
      </w:numPr>
      <w:ind w:left="360" w:hanging="360"/>
      <w:outlineLvl w:val="1"/>
    </w:pPr>
    <w:rPr>
      <w:i/>
    </w:rPr>
  </w:style>
  <w:style w:type="paragraph" w:customStyle="1" w:styleId="22">
    <w:name w:val="Appendix 3"/>
    <w:basedOn w:val="21"/>
    <w:next w:val="1"/>
    <w:qFormat/>
    <w:uiPriority w:val="0"/>
    <w:pPr>
      <w:numPr>
        <w:ilvl w:val="2"/>
      </w:numPr>
      <w:ind w:left="360" w:hanging="360"/>
      <w:outlineLvl w:val="2"/>
    </w:pPr>
    <w:rPr>
      <w:b w:val="0"/>
    </w:rPr>
  </w:style>
  <w:style w:type="paragraph" w:customStyle="1" w:styleId="23">
    <w:name w:val="Body Text 0"/>
    <w:basedOn w:val="5"/>
    <w:next w:val="5"/>
    <w:qFormat/>
    <w:uiPriority w:val="0"/>
    <w:pPr>
      <w:widowControl/>
      <w:autoSpaceDE w:val="0"/>
      <w:autoSpaceDN w:val="0"/>
      <w:spacing w:after="0" w:line="260" w:lineRule="exact"/>
    </w:pPr>
    <w:rPr>
      <w:rFonts w:ascii="Times New Roman" w:hAnsi="Times New Roman" w:eastAsia="Times New Roman" w:cs="Times New Roman"/>
      <w:kern w:val="0"/>
      <w:sz w:val="20"/>
      <w:szCs w:val="24"/>
      <w:lang w:eastAsia="en-US"/>
    </w:rPr>
  </w:style>
  <w:style w:type="paragraph" w:customStyle="1" w:styleId="24">
    <w:name w:val="Paragraph 1"/>
    <w:basedOn w:val="1"/>
    <w:next w:val="1"/>
    <w:qFormat/>
    <w:uiPriority w:val="0"/>
    <w:pPr>
      <w:widowControl/>
      <w:spacing w:before="60"/>
    </w:pPr>
    <w:rPr>
      <w:rFonts w:ascii="Times New Roman" w:hAnsi="Times New Roman" w:eastAsia="Times New Roman" w:cs="Times New Roman"/>
      <w:kern w:val="0"/>
      <w:sz w:val="20"/>
      <w:szCs w:val="24"/>
      <w:lang w:eastAsia="en-US"/>
    </w:rPr>
  </w:style>
  <w:style w:type="character" w:customStyle="1" w:styleId="25">
    <w:name w:val="Body Text Char"/>
    <w:basedOn w:val="10"/>
    <w:link w:val="5"/>
    <w:semiHidden/>
    <w:qFormat/>
    <w:uiPriority w:val="99"/>
  </w:style>
  <w:style w:type="paragraph" w:styleId="26">
    <w:name w:val="List Paragraph"/>
    <w:basedOn w:val="1"/>
    <w:qFormat/>
    <w:uiPriority w:val="34"/>
    <w:pPr>
      <w:widowControl/>
      <w:ind w:left="720"/>
      <w:contextualSpacing/>
      <w:jc w:val="left"/>
    </w:pPr>
    <w:rPr>
      <w:rFonts w:eastAsiaTheme="minorHAnsi"/>
      <w:kern w:val="0"/>
      <w:sz w:val="22"/>
      <w:lang w:eastAsia="en-US"/>
    </w:rPr>
  </w:style>
  <w:style w:type="character" w:customStyle="1" w:styleId="27">
    <w:name w:val="Comment Text Char"/>
    <w:basedOn w:val="10"/>
    <w:link w:val="4"/>
    <w:semiHidden/>
    <w:qFormat/>
    <w:uiPriority w:val="99"/>
    <w:rPr>
      <w:kern w:val="2"/>
      <w:lang w:val="en-US" w:eastAsia="zh-CN"/>
    </w:rPr>
  </w:style>
  <w:style w:type="character" w:customStyle="1" w:styleId="28">
    <w:name w:val="Comment Subject Char"/>
    <w:basedOn w:val="27"/>
    <w:link w:val="3"/>
    <w:semiHidden/>
    <w:qFormat/>
    <w:uiPriority w:val="99"/>
    <w:rPr>
      <w:rFonts w:ascii="Times New Roman" w:hAnsi="Times New Roman" w:eastAsia="MS Mincho" w:cs="Times New Roman"/>
      <w:b/>
      <w:bCs/>
      <w:kern w:val="2"/>
      <w:lang w:val="en-US" w:eastAsia="ja-JP"/>
    </w:rPr>
  </w:style>
  <w:style w:type="character" w:customStyle="1" w:styleId="29">
    <w:name w:val="Footnote Text Char"/>
    <w:basedOn w:val="10"/>
    <w:link w:val="9"/>
    <w:qFormat/>
    <w:uiPriority w:val="99"/>
    <w:rPr>
      <w:rFonts w:eastAsiaTheme="minorHAnsi"/>
      <w:sz w:val="22"/>
      <w:szCs w:val="22"/>
      <w:lang w:val="es-ES" w:eastAsia="ja-JP"/>
    </w:rPr>
  </w:style>
  <w:style w:type="character" w:customStyle="1" w:styleId="30">
    <w:name w:val="Balloon Text Char"/>
    <w:basedOn w:val="10"/>
    <w:link w:val="6"/>
    <w:semiHidden/>
    <w:uiPriority w:val="99"/>
    <w:rPr>
      <w:rFonts w:ascii="Segoe UI" w:hAnsi="Segoe UI" w:cs="Segoe UI"/>
      <w:kern w:val="2"/>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F3881-0679-4F99-B0A5-D59E933F8834}">
  <ds:schemaRefs/>
</ds:datastoreItem>
</file>

<file path=docProps/app.xml><?xml version="1.0" encoding="utf-8"?>
<Properties xmlns="http://schemas.openxmlformats.org/officeDocument/2006/extended-properties" xmlns:vt="http://schemas.openxmlformats.org/officeDocument/2006/docPropsVTypes">
  <Template>Normal</Template>
  <Pages>20</Pages>
  <Words>7500</Words>
  <Characters>41256</Characters>
  <Lines>343</Lines>
  <Paragraphs>97</Paragraphs>
  <TotalTime>0</TotalTime>
  <ScaleCrop>false</ScaleCrop>
  <LinksUpToDate>false</LinksUpToDate>
  <CharactersWithSpaces>48659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2018-05-25T16:27:00Z</dcterms:created>
  <dc:creator>Administrator</dc:creator>
  <cp:lastModifiedBy>Administrator</cp:lastModifiedBy>
  <cp:lastPrinted>2018-05-29T14:35:00Z</cp:lastPrinted>
  <dcterms:modified xsi:type="dcterms:W3CDTF">2018-06-05T02:35:44Z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