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Determination of heavy metals and organochlorine pesticides in the leaves and flowers from linden trees in Kırklareli province</w:t>
      </w:r>
    </w:p>
    <w:p>
      <w:pPr>
        <w:spacing w:after="0" w:line="480" w:lineRule="auto"/>
        <w:rPr>
          <w:rFonts w:ascii="Times New Roman" w:hAnsi="Times New Roman" w:cs="Times New Roman"/>
          <w:b/>
          <w:sz w:val="24"/>
          <w:szCs w:val="24"/>
          <w:lang w:val="en-US"/>
        </w:rPr>
      </w:pPr>
    </w:p>
    <w:p>
      <w:pPr>
        <w:spacing w:after="0" w:line="480" w:lineRule="auto"/>
        <w:rPr>
          <w:rFonts w:ascii="Times New Roman" w:hAnsi="Times New Roman" w:cs="Times New Roman"/>
          <w:b/>
          <w:sz w:val="24"/>
          <w:szCs w:val="24"/>
          <w:lang w:val="en-US"/>
        </w:rPr>
      </w:pPr>
    </w:p>
    <w:p>
      <w:pPr>
        <w:spacing w:after="0" w:line="480" w:lineRule="auto"/>
        <w:jc w:val="center"/>
        <w:rPr>
          <w:rFonts w:hint="eastAsia" w:ascii="Times New Roman" w:hAnsi="Times New Roman" w:eastAsia="宋体" w:cs="Times New Roman"/>
          <w:sz w:val="24"/>
          <w:szCs w:val="24"/>
          <w:vertAlign w:val="superscript"/>
          <w:lang w:val="en-US" w:eastAsia="zh-CN"/>
        </w:rPr>
      </w:pPr>
      <w:r>
        <w:rPr>
          <w:rFonts w:ascii="Times New Roman" w:hAnsi="Times New Roman" w:eastAsia="Calibri" w:cs="Times New Roman"/>
          <w:sz w:val="24"/>
          <w:szCs w:val="24"/>
          <w:lang w:val="en-US"/>
        </w:rPr>
        <w:t>Osman Üner</w:t>
      </w:r>
      <w:r>
        <w:rPr>
          <w:rFonts w:hint="eastAsia" w:ascii="Times New Roman" w:hAnsi="Times New Roman" w:eastAsia="宋体" w:cs="Times New Roman"/>
          <w:sz w:val="24"/>
          <w:szCs w:val="24"/>
          <w:vertAlign w:val="superscript"/>
          <w:lang w:val="en-US" w:eastAsia="zh-CN"/>
        </w:rPr>
        <w:t>1</w:t>
      </w:r>
      <w:r>
        <w:rPr>
          <w:rFonts w:ascii="Times New Roman" w:hAnsi="Times New Roman" w:eastAsia="Calibri" w:cs="Times New Roman"/>
          <w:sz w:val="24"/>
          <w:szCs w:val="24"/>
          <w:lang w:val="en-US"/>
        </w:rPr>
        <w:t>*, Cihan Torlak</w:t>
      </w:r>
      <w:r>
        <w:rPr>
          <w:rFonts w:hint="eastAsia" w:ascii="Times New Roman" w:hAnsi="Times New Roman" w:eastAsia="宋体" w:cs="Times New Roman"/>
          <w:sz w:val="24"/>
          <w:szCs w:val="24"/>
          <w:vertAlign w:val="superscript"/>
          <w:lang w:val="en-US" w:eastAsia="zh-CN"/>
        </w:rPr>
        <w:t>2</w:t>
      </w:r>
      <w:r>
        <w:rPr>
          <w:rFonts w:ascii="Times New Roman" w:hAnsi="Times New Roman" w:eastAsia="Calibri" w:cs="Times New Roman"/>
          <w:sz w:val="24"/>
          <w:szCs w:val="24"/>
          <w:lang w:val="en-US"/>
        </w:rPr>
        <w:t>, and Cemile Özcan</w:t>
      </w:r>
      <w:r>
        <w:rPr>
          <w:rFonts w:hint="eastAsia" w:ascii="Times New Roman" w:hAnsi="Times New Roman" w:eastAsia="宋体" w:cs="Times New Roman"/>
          <w:sz w:val="24"/>
          <w:szCs w:val="24"/>
          <w:vertAlign w:val="superscript"/>
          <w:lang w:val="en-US" w:eastAsia="zh-CN"/>
        </w:rPr>
        <w:t>3</w:t>
      </w:r>
    </w:p>
    <w:p>
      <w:pPr>
        <w:spacing w:after="0" w:line="480" w:lineRule="auto"/>
        <w:jc w:val="center"/>
        <w:rPr>
          <w:rFonts w:ascii="Times New Roman" w:hAnsi="Times New Roman" w:eastAsia="Calibri" w:cs="Times New Roman"/>
          <w:sz w:val="24"/>
          <w:szCs w:val="24"/>
          <w:vertAlign w:val="superscript"/>
          <w:lang w:val="en-US"/>
        </w:rPr>
      </w:pPr>
    </w:p>
    <w:p>
      <w:pPr>
        <w:spacing w:after="0" w:line="480" w:lineRule="auto"/>
        <w:jc w:val="center"/>
        <w:rPr>
          <w:rFonts w:ascii="Times New Roman" w:hAnsi="Times New Roman" w:eastAsia="Calibri" w:cs="Times New Roman"/>
          <w:sz w:val="24"/>
          <w:szCs w:val="24"/>
          <w:vertAlign w:val="superscript"/>
          <w:lang w:val="en-US"/>
        </w:rPr>
      </w:pPr>
    </w:p>
    <w:p>
      <w:pPr>
        <w:spacing w:after="0" w:line="480" w:lineRule="auto"/>
        <w:jc w:val="center"/>
        <w:rPr>
          <w:rFonts w:ascii="Times New Roman" w:hAnsi="Times New Roman" w:eastAsia="Calibri" w:cs="Times New Roman"/>
          <w:sz w:val="24"/>
          <w:szCs w:val="24"/>
          <w:vertAlign w:val="superscript"/>
          <w:lang w:val="en-US"/>
        </w:rPr>
      </w:pPr>
    </w:p>
    <w:p>
      <w:pPr>
        <w:spacing w:after="0" w:line="48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Department of Chemistry, Kırklareli University, 39020 Kırklareli, Turkey</w:t>
      </w:r>
    </w:p>
    <w:p>
      <w:pPr>
        <w:spacing w:after="0" w:line="480" w:lineRule="auto"/>
        <w:jc w:val="center"/>
        <w:rPr>
          <w:rFonts w:ascii="Times New Roman" w:hAnsi="Times New Roman" w:eastAsia="Calibri" w:cs="Times New Roman"/>
          <w:sz w:val="24"/>
          <w:szCs w:val="24"/>
          <w:lang w:val="en-US"/>
        </w:rPr>
      </w:pPr>
    </w:p>
    <w:p>
      <w:pPr>
        <w:spacing w:after="0" w:line="480" w:lineRule="auto"/>
        <w:jc w:val="center"/>
        <w:rPr>
          <w:rFonts w:ascii="Times New Roman" w:hAnsi="Times New Roman" w:eastAsia="Calibri" w:cs="Times New Roman"/>
          <w:sz w:val="24"/>
          <w:szCs w:val="24"/>
          <w:lang w:val="en-US"/>
        </w:rPr>
      </w:pPr>
    </w:p>
    <w:p>
      <w:pPr>
        <w:spacing w:after="0" w:line="480" w:lineRule="auto"/>
        <w:jc w:val="cente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Tel: +90 (288) 246 17 34</w:t>
      </w:r>
    </w:p>
    <w:p>
      <w:pPr>
        <w:spacing w:after="0" w:line="480" w:lineRule="auto"/>
        <w:jc w:val="center"/>
        <w:rPr>
          <w:rFonts w:hint="eastAsia" w:ascii="Times New Roman" w:hAnsi="Times New Roman" w:eastAsia="宋体" w:cs="Times New Roman"/>
          <w:sz w:val="24"/>
          <w:szCs w:val="24"/>
          <w:lang w:val="en-US" w:eastAsia="zh-CN"/>
        </w:rPr>
      </w:pPr>
    </w:p>
    <w:p>
      <w:pPr>
        <w:spacing w:after="0" w:line="480" w:lineRule="auto"/>
        <w:jc w:val="center"/>
        <w:rPr>
          <w:rFonts w:hint="eastAsia" w:ascii="Times New Roman" w:hAnsi="Times New Roman" w:eastAsia="宋体" w:cs="Times New Roman"/>
          <w:sz w:val="24"/>
          <w:szCs w:val="24"/>
          <w:lang w:val="en-US" w:eastAsia="zh-CN"/>
        </w:rPr>
      </w:pPr>
    </w:p>
    <w:p>
      <w:pPr>
        <w:spacing w:after="0"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w:t>
      </w:r>
      <w:r>
        <w:rPr>
          <w:rFonts w:ascii="Times New Roman" w:hAnsi="Times New Roman" w:eastAsia="Calibri" w:cs="Times New Roman"/>
          <w:sz w:val="24"/>
          <w:szCs w:val="24"/>
          <w:lang w:val="en-US"/>
        </w:rPr>
        <w:t xml:space="preserve">orrespondence </w:t>
      </w:r>
      <w:r>
        <w:rPr>
          <w:rFonts w:hint="eastAsia" w:ascii="Times New Roman" w:hAnsi="Times New Roman" w:eastAsia="宋体" w:cs="Times New Roman"/>
          <w:sz w:val="24"/>
          <w:szCs w:val="24"/>
          <w:lang w:val="en-US" w:eastAsia="zh-CN"/>
        </w:rPr>
        <w:t>author：Osman Üner</w:t>
      </w:r>
    </w:p>
    <w:p>
      <w:pPr>
        <w:spacing w:after="0" w:line="480" w:lineRule="auto"/>
        <w:jc w:val="center"/>
        <w:rPr>
          <w:rFonts w:ascii="Times New Roman" w:hAnsi="Times New Roman" w:eastAsia="Calibri" w:cs="Times New Roman"/>
          <w:sz w:val="24"/>
          <w:szCs w:val="24"/>
          <w:lang w:val="en-US"/>
        </w:rPr>
      </w:pPr>
    </w:p>
    <w:p>
      <w:pPr>
        <w:spacing w:after="0" w:line="480" w:lineRule="auto"/>
        <w:jc w:val="center"/>
        <w:rPr>
          <w:rFonts w:ascii="Times New Roman" w:hAnsi="Times New Roman" w:eastAsia="Calibri" w:cs="Times New Roman"/>
          <w:sz w:val="24"/>
          <w:szCs w:val="24"/>
          <w:lang w:val="en-US"/>
        </w:rPr>
      </w:pPr>
    </w:p>
    <w:p>
      <w:pPr>
        <w:spacing w:after="0" w:line="480" w:lineRule="auto"/>
        <w:jc w:val="center"/>
        <w:rPr>
          <w:rFonts w:ascii="Times New Roman" w:hAnsi="Times New Roman" w:eastAsia="Calibri" w:cs="Times New Roman"/>
          <w:color w:val="0000FF"/>
          <w:sz w:val="24"/>
          <w:szCs w:val="24"/>
          <w:u w:val="single"/>
          <w:lang w:val="en-US"/>
        </w:rPr>
      </w:pPr>
      <w:r>
        <w:rPr>
          <w:rFonts w:ascii="Times New Roman" w:hAnsi="Times New Roman" w:eastAsia="Calibri" w:cs="Times New Roman"/>
          <w:sz w:val="24"/>
          <w:szCs w:val="24"/>
          <w:lang w:val="en-US"/>
        </w:rPr>
        <w:t xml:space="preserve">E-mail address: </w:t>
      </w:r>
      <w:r>
        <w:fldChar w:fldCharType="begin"/>
      </w:r>
      <w:r>
        <w:instrText xml:space="preserve"> HYPERLINK "mailto:osmanuner@klu.edu.tr" </w:instrText>
      </w:r>
      <w:r>
        <w:fldChar w:fldCharType="separate"/>
      </w:r>
      <w:r>
        <w:rPr>
          <w:rFonts w:ascii="Times New Roman" w:hAnsi="Times New Roman" w:eastAsia="Calibri" w:cs="Times New Roman"/>
          <w:sz w:val="24"/>
          <w:szCs w:val="24"/>
          <w:lang w:val="en-US"/>
        </w:rPr>
        <w:t>osmanuner@klu.edu.tr</w:t>
      </w:r>
      <w:r>
        <w:rPr>
          <w:rFonts w:ascii="Times New Roman" w:hAnsi="Times New Roman" w:eastAsia="Calibri" w:cs="Times New Roman"/>
          <w:sz w:val="24"/>
          <w:szCs w:val="24"/>
          <w:lang w:val="en-US"/>
        </w:rPr>
        <w:fldChar w:fldCharType="end"/>
      </w:r>
    </w:p>
    <w:p>
      <w:pPr>
        <w:spacing w:after="0" w:line="480" w:lineRule="auto"/>
        <w:rPr>
          <w:rFonts w:ascii="Times New Roman" w:hAnsi="Times New Roman" w:eastAsia="Calibri" w:cs="Times New Roman"/>
          <w:sz w:val="24"/>
          <w:szCs w:val="24"/>
          <w:lang w:val="en-US"/>
        </w:rPr>
      </w:pPr>
    </w:p>
    <w:p>
      <w:pPr>
        <w:spacing w:after="0" w:line="480" w:lineRule="auto"/>
        <w:rPr>
          <w:rFonts w:ascii="Times New Roman" w:hAnsi="Times New Roman" w:eastAsia="Calibri" w:cs="Times New Roman"/>
          <w:sz w:val="24"/>
          <w:szCs w:val="24"/>
          <w:lang w:val="en-US"/>
        </w:rPr>
      </w:pPr>
    </w:p>
    <w:p>
      <w:pPr>
        <w:spacing w:after="0" w:line="480" w:lineRule="auto"/>
        <w:rPr>
          <w:rFonts w:ascii="Times New Roman" w:hAnsi="Times New Roman" w:eastAsia="Calibri" w:cs="Times New Roman"/>
          <w:sz w:val="24"/>
          <w:szCs w:val="24"/>
          <w:lang w:val="en-US"/>
        </w:rPr>
      </w:pPr>
    </w:p>
    <w:p>
      <w:pPr>
        <w:spacing w:after="0" w:line="480" w:lineRule="auto"/>
        <w:rPr>
          <w:rFonts w:ascii="Times New Roman" w:hAnsi="Times New Roman" w:eastAsia="Calibri" w:cs="Times New Roman"/>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both"/>
        <w:rPr>
          <w:rFonts w:ascii="Times New Roman" w:hAnsi="Times New Roman" w:cs="Times New Roman"/>
          <w:b/>
          <w:sz w:val="24"/>
          <w:szCs w:val="24"/>
          <w:lang w:val="en-US"/>
        </w:rPr>
      </w:pPr>
    </w:p>
    <w:p>
      <w:pPr>
        <w:spacing w:after="0" w:line="48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ABSTRACT</w:t>
      </w:r>
    </w:p>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For five different regions in Kırklareli province, heavy metals; such as Pb, Ni, Cu, Mn, Cd, Cr, Co, Zn, Mo, and Fe in the mixture of leaves and flowers from linden trees (</w:t>
      </w:r>
      <w:r>
        <w:rPr>
          <w:rFonts w:ascii="Times New Roman" w:hAnsi="Times New Roman" w:cs="Times New Roman"/>
          <w:i/>
          <w:sz w:val="24"/>
          <w:szCs w:val="24"/>
          <w:lang w:val="en-US"/>
        </w:rPr>
        <w:t>Tilia tomentosa L.</w:t>
      </w:r>
      <w:r>
        <w:rPr>
          <w:rFonts w:ascii="Times New Roman" w:hAnsi="Times New Roman" w:cs="Times New Roman"/>
          <w:sz w:val="24"/>
          <w:szCs w:val="24"/>
          <w:lang w:val="en-US"/>
        </w:rPr>
        <w:t xml:space="preserve">) were analyzed by using flame atomic absorption spectroscopy after the samples were dissolved with microwave method. Also, </w:t>
      </w:r>
      <w:r>
        <w:rPr>
          <w:rFonts w:ascii="Times New Roman" w:hAnsi="Times New Roman" w:cs="Times New Roman"/>
          <w:color w:val="000000"/>
          <w:sz w:val="24"/>
          <w:szCs w:val="24"/>
          <w:lang w:val="en-US"/>
        </w:rPr>
        <w:t xml:space="preserve">organochloride pesticides; such as </w:t>
      </w:r>
      <w:r>
        <w:rPr>
          <w:rFonts w:ascii="Times New Roman" w:hAnsi="Times New Roman" w:cs="Times New Roman"/>
          <w:sz w:val="24"/>
          <w:szCs w:val="24"/>
          <w:lang w:val="en-US"/>
        </w:rPr>
        <w:t xml:space="preserve">∑BHC: [α-BHC, β-BHC, γ-BHC, and δ-BHC], ∑DDT: [4,4’-DDD, 4,4’-DDE, and 4,4’-DDT], α-Endosulfan, β-Endosulfan, Endosulfan sulfate, Heptachlor, Heptachlor-endo-epoxide, Aldrin, Dieldrin, Endrin aldehyde, Endrin ketone, Endrin and Methoxychlor in these samples were determined by utilizing gas chromatography mass spectroscopy after the samples were prepared for analyses by using QuEChERS method. The metal concentrations in the samples were in the range of 45.3 to 268 mg/kg for Mn, 0.25 to 18.8 mg/kg for Cu, 11.5 to 46.1 mg/kg for Zn, 128 to 1310 mg/kg for Fe, 10.4 to 38.6 mg/kg for Mo, 0.82 to 1.34 mg/kg for Cd, 0 to 6.45 mg/kg for Ni, 0 to 19.2 mg/kg for Pb, and 0 to 8.25 mg/kg for Cr. Moreover, </w:t>
      </w:r>
      <w:r>
        <w:rPr>
          <w:rFonts w:ascii="Times New Roman" w:hAnsi="Times New Roman" w:eastAsia="Times New Roman" w:cs="Times New Roman"/>
          <w:sz w:val="24"/>
          <w:szCs w:val="24"/>
          <w:lang w:val="en-US" w:eastAsia="tr-TR"/>
        </w:rPr>
        <w:t xml:space="preserve">the concentrations of organochloride pesticides in samples were usually determined to be lower than their </w:t>
      </w:r>
      <w:r>
        <w:rPr>
          <w:rFonts w:ascii="Times New Roman" w:hAnsi="Times New Roman" w:cs="Times New Roman"/>
          <w:sz w:val="24"/>
          <w:szCs w:val="24"/>
          <w:lang w:val="en-US"/>
        </w:rPr>
        <w:t xml:space="preserve">maximum residue level values given the pesticide residue limit regulation of Turkish Food Codex. </w:t>
      </w:r>
    </w:p>
    <w:p>
      <w:pPr>
        <w:spacing w:after="0" w:line="240" w:lineRule="auto"/>
        <w:jc w:val="both"/>
        <w:rPr>
          <w:rFonts w:ascii="Times New Roman" w:hAnsi="Times New Roman" w:cs="Times New Roman"/>
          <w:sz w:val="24"/>
          <w:szCs w:val="24"/>
          <w:lang w:val="en-US"/>
        </w:rPr>
      </w:pPr>
    </w:p>
    <w:p>
      <w:pPr>
        <w:spacing w:after="240" w:line="240" w:lineRule="auto"/>
        <w:jc w:val="both"/>
        <w:rPr>
          <w:rFonts w:ascii="Times New Roman" w:hAnsi="Times New Roman" w:cs="Times New Roman"/>
          <w:b/>
          <w:sz w:val="24"/>
          <w:szCs w:val="24"/>
          <w:lang w:val="en-US"/>
        </w:rPr>
      </w:pPr>
      <w:r>
        <w:rPr>
          <w:rFonts w:ascii="Times New Roman" w:hAnsi="Times New Roman" w:cs="Times New Roman"/>
          <w:b/>
          <w:i/>
          <w:iCs/>
          <w:sz w:val="24"/>
          <w:szCs w:val="24"/>
          <w:lang w:val="en-US"/>
        </w:rPr>
        <w:t>K</w:t>
      </w:r>
      <w:r>
        <w:rPr>
          <w:rFonts w:hint="eastAsia" w:ascii="Times New Roman" w:hAnsi="Times New Roman" w:eastAsia="宋体" w:cs="Times New Roman"/>
          <w:b/>
          <w:i/>
          <w:iCs/>
          <w:sz w:val="24"/>
          <w:szCs w:val="24"/>
          <w:lang w:val="en-US" w:eastAsia="zh-CN"/>
        </w:rPr>
        <w:t>eywords</w:t>
      </w:r>
      <w:r>
        <w:rPr>
          <w:rFonts w:ascii="Times New Roman" w:hAnsi="Times New Roman" w:cs="Times New Roman"/>
          <w:b/>
          <w:sz w:val="24"/>
          <w:szCs w:val="24"/>
          <w:lang w:val="en-US"/>
        </w:rPr>
        <w:t xml:space="preserve">: </w:t>
      </w:r>
      <w:r>
        <w:rPr>
          <w:rFonts w:ascii="Times New Roman" w:hAnsi="Times New Roman" w:cs="Times New Roman"/>
          <w:i w:val="0"/>
          <w:sz w:val="24"/>
          <w:szCs w:val="24"/>
          <w:lang w:val="en-US"/>
        </w:rPr>
        <w:t>Tilia tomentosa L.</w:t>
      </w:r>
      <w:r>
        <w:rPr>
          <w:rFonts w:ascii="Times New Roman" w:hAnsi="Times New Roman" w:cs="Times New Roman"/>
          <w:sz w:val="24"/>
          <w:szCs w:val="24"/>
          <w:lang w:val="en-US"/>
        </w:rPr>
        <w:t>; Heavy metals; Organochloride pesticides; FAAS; GC-MS.</w:t>
      </w:r>
    </w:p>
    <w:p>
      <w:pPr>
        <w:spacing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 Introduction</w:t>
      </w:r>
    </w:p>
    <w:p>
      <w:pPr>
        <w:spacing w:after="120" w:line="240" w:lineRule="auto"/>
        <w:ind w:firstLine="240" w:firstLineChars="100"/>
        <w:jc w:val="both"/>
        <w:rPr>
          <w:rFonts w:ascii="Times New Roman" w:hAnsi="Times New Roman" w:eastAsia="Calibri" w:cs="Times New Roman"/>
          <w:color w:val="000000"/>
          <w:sz w:val="24"/>
          <w:szCs w:val="24"/>
          <w:lang w:val="en-US"/>
        </w:rPr>
      </w:pPr>
      <w:r>
        <w:rPr>
          <w:rFonts w:ascii="Times New Roman" w:hAnsi="Times New Roman" w:cs="Times New Roman"/>
          <w:color w:val="000000"/>
          <w:sz w:val="24"/>
          <w:szCs w:val="24"/>
          <w:lang w:val="en-US"/>
        </w:rPr>
        <w:t>Heavy metals and pesticides, found at different forms in ecological system, lead to serious destructive injuries on biological structures of living cells when they are taken at high concentrations</w:t>
      </w:r>
      <w:r>
        <w:rPr>
          <w:rFonts w:ascii="Times New Roman" w:hAnsi="Times New Roman" w:cs="Times New Roman"/>
          <w:color w:val="000000"/>
          <w:sz w:val="24"/>
          <w:szCs w:val="24"/>
          <w:vertAlign w:val="superscript"/>
          <w:lang w:val="en-US"/>
        </w:rPr>
        <w:t>[1]</w:t>
      </w:r>
      <w:r>
        <w:rPr>
          <w:rFonts w:ascii="Times New Roman" w:hAnsi="Times New Roman" w:cs="Times New Roman"/>
          <w:color w:val="000000"/>
          <w:sz w:val="24"/>
          <w:szCs w:val="24"/>
          <w:lang w:val="en-US"/>
        </w:rPr>
        <w:t>. In case of exposure for a long time to chloride pesticides and some heavy metals, such as Cd, cancer cases can occur because of their endocrine disruptive effects, or it can result in death directly in case of exposure at high dosages for a short time</w:t>
      </w:r>
      <w:r>
        <w:rPr>
          <w:rFonts w:ascii="Times New Roman" w:hAnsi="Times New Roman" w:cs="Times New Roman"/>
          <w:color w:val="000000"/>
          <w:sz w:val="24"/>
          <w:szCs w:val="24"/>
          <w:vertAlign w:val="superscript"/>
          <w:lang w:val="en-US"/>
        </w:rPr>
        <w:t>[2-5]</w:t>
      </w:r>
      <w:r>
        <w:rPr>
          <w:rFonts w:ascii="Times New Roman" w:hAnsi="Times New Roman" w:cs="Times New Roman"/>
          <w:color w:val="000000"/>
          <w:sz w:val="24"/>
          <w:szCs w:val="24"/>
          <w:lang w:val="en-US"/>
        </w:rPr>
        <w:t>. Trace elements have significant roles in plant structures for life functions. Some elements are quite toxic to living beings and some are basic elements. However, basic elements can display toxic effects if they are taken at high dosages</w:t>
      </w:r>
      <w:r>
        <w:rPr>
          <w:rFonts w:ascii="Times New Roman" w:hAnsi="Times New Roman" w:cs="Times New Roman"/>
          <w:color w:val="000000"/>
          <w:sz w:val="24"/>
          <w:szCs w:val="24"/>
          <w:vertAlign w:val="superscript"/>
          <w:lang w:val="en-US"/>
        </w:rPr>
        <w:t>[6]</w:t>
      </w:r>
      <w:r>
        <w:rPr>
          <w:rFonts w:ascii="Times New Roman" w:hAnsi="Times New Roman" w:eastAsia="Calibri" w:cs="Times New Roman"/>
          <w:color w:val="000000"/>
          <w:sz w:val="24"/>
          <w:szCs w:val="24"/>
          <w:lang w:val="en-US"/>
        </w:rPr>
        <w:t>.</w:t>
      </w:r>
    </w:p>
    <w:p>
      <w:pPr>
        <w:spacing w:after="120" w:line="240" w:lineRule="auto"/>
        <w:ind w:firstLine="240" w:firstLineChars="100"/>
        <w:jc w:val="both"/>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4"/>
          <w:szCs w:val="24"/>
          <w:lang w:val="en-US"/>
        </w:rPr>
        <w:t xml:space="preserve">It is known that metals, such as </w:t>
      </w:r>
      <w:r>
        <w:rPr>
          <w:rFonts w:ascii="Times New Roman" w:hAnsi="Times New Roman" w:cs="Times New Roman"/>
          <w:sz w:val="24"/>
          <w:szCs w:val="24"/>
          <w:lang w:val="en-US"/>
        </w:rPr>
        <w:t>Pb, Ni, and Cr are toxic and carcinogenic, while metals, such as Fe, Zn, Mn, and Cu are necessary for our biological systems</w:t>
      </w:r>
      <w:r>
        <w:rPr>
          <w:rFonts w:ascii="Times New Roman" w:hAnsi="Times New Roman" w:cs="Times New Roman"/>
          <w:color w:val="000000"/>
          <w:sz w:val="24"/>
          <w:szCs w:val="24"/>
          <w:vertAlign w:val="superscript"/>
          <w:lang w:val="en-US"/>
        </w:rPr>
        <w:t>[7]</w:t>
      </w:r>
      <w:r>
        <w:rPr>
          <w:rFonts w:ascii="Times New Roman" w:hAnsi="Times New Roman" w:eastAsia="Calibri" w:cs="Times New Roman"/>
          <w:color w:val="000000"/>
          <w:sz w:val="24"/>
          <w:szCs w:val="24"/>
          <w:lang w:val="en-US"/>
        </w:rPr>
        <w:t>. For human beings, maximum metal concentrations that can be obtained from foods should be 10-18, 15, 2.5-5, 2-3 mg for Fe, Zn, Mn, and Cu, respectively</w:t>
      </w:r>
      <w:r>
        <w:rPr>
          <w:rFonts w:ascii="Times New Roman" w:hAnsi="Times New Roman" w:cs="Times New Roman"/>
          <w:color w:val="000000"/>
          <w:sz w:val="24"/>
          <w:szCs w:val="24"/>
          <w:vertAlign w:val="superscript"/>
          <w:lang w:val="en-US"/>
        </w:rPr>
        <w:t>[8]</w:t>
      </w:r>
      <w:r>
        <w:rPr>
          <w:rFonts w:ascii="Times New Roman" w:hAnsi="Times New Roman" w:eastAsia="Calibri" w:cs="Times New Roman"/>
          <w:color w:val="000000"/>
          <w:sz w:val="24"/>
          <w:szCs w:val="24"/>
          <w:lang w:val="en-US"/>
        </w:rPr>
        <w:t xml:space="preserve">. </w:t>
      </w:r>
      <w:r>
        <w:rPr>
          <w:rFonts w:ascii="Times New Roman" w:hAnsi="Times New Roman" w:cs="Times New Roman"/>
          <w:color w:val="000000"/>
          <w:sz w:val="24"/>
          <w:szCs w:val="24"/>
          <w:lang w:val="en-US"/>
        </w:rPr>
        <w:t xml:space="preserve">World health organization has reported acceptable weekly intake as </w:t>
      </w:r>
      <w:r>
        <w:rPr>
          <w:rFonts w:ascii="Times New Roman" w:hAnsi="Times New Roman" w:cs="Times New Roman"/>
          <w:bCs/>
          <w:color w:val="000000"/>
          <w:sz w:val="24"/>
          <w:szCs w:val="24"/>
          <w:lang w:val="en-US"/>
        </w:rPr>
        <w:t>0.007 and 0.025 mg/kg for Pb and Cd metals, respectively</w:t>
      </w:r>
      <w:r>
        <w:rPr>
          <w:rFonts w:ascii="Times New Roman" w:hAnsi="Times New Roman" w:cs="Times New Roman"/>
          <w:color w:val="000000"/>
          <w:sz w:val="24"/>
          <w:szCs w:val="24"/>
          <w:vertAlign w:val="superscript"/>
          <w:lang w:val="en-US"/>
        </w:rPr>
        <w:t>[9]</w:t>
      </w:r>
      <w:r>
        <w:rPr>
          <w:rFonts w:ascii="Times New Roman" w:hAnsi="Times New Roman" w:eastAsia="Calibri" w:cs="Times New Roman"/>
          <w:color w:val="000000"/>
          <w:sz w:val="24"/>
          <w:szCs w:val="24"/>
          <w:lang w:val="en-US"/>
        </w:rPr>
        <w:t>. Acute Cd poisoning in humans is excessively damaging to tissues; such as high blood pressure, kidney damages, and destructions of testicular tissue and red blood cells</w:t>
      </w:r>
      <w:r>
        <w:rPr>
          <w:rFonts w:ascii="Times New Roman" w:hAnsi="Times New Roman" w:cs="Times New Roman"/>
          <w:color w:val="000000"/>
          <w:sz w:val="24"/>
          <w:szCs w:val="24"/>
          <w:vertAlign w:val="superscript"/>
          <w:lang w:val="en-US"/>
        </w:rPr>
        <w:t>[10-12]</w:t>
      </w:r>
      <w:r>
        <w:rPr>
          <w:rFonts w:ascii="Times New Roman" w:hAnsi="Times New Roman" w:eastAsia="Calibri" w:cs="Times New Roman"/>
          <w:color w:val="000000"/>
          <w:sz w:val="24"/>
          <w:szCs w:val="24"/>
          <w:lang w:val="en-US"/>
        </w:rPr>
        <w:t>. Cd mostly accumulates in kidneys, and it can lead to kidney failure at high levels. Also, high level Cd intake can cause stomachache, vomiting, bone breakage, reproductive impairment, immune system impairment, DNA damage, and cancer</w:t>
      </w:r>
      <w:r>
        <w:rPr>
          <w:rFonts w:ascii="Times New Roman" w:hAnsi="Times New Roman" w:cs="Times New Roman"/>
          <w:color w:val="000000"/>
          <w:sz w:val="24"/>
          <w:szCs w:val="24"/>
          <w:vertAlign w:val="superscript"/>
          <w:lang w:val="en-US"/>
        </w:rPr>
        <w:t>[13]</w:t>
      </w:r>
      <w:r>
        <w:rPr>
          <w:rFonts w:ascii="Times New Roman" w:hAnsi="Times New Roman" w:eastAsia="Calibri" w:cs="Times New Roman"/>
          <w:color w:val="000000"/>
          <w:sz w:val="24"/>
          <w:szCs w:val="24"/>
          <w:lang w:val="en-US"/>
        </w:rPr>
        <w:t>. Furthermore, there is sufficient evidence for a relation between lung cancer and nickel sulfate and nickel sulfurs</w:t>
      </w:r>
      <w:r>
        <w:rPr>
          <w:rFonts w:ascii="Times New Roman" w:hAnsi="Times New Roman" w:cs="Times New Roman"/>
          <w:color w:val="000000"/>
          <w:sz w:val="24"/>
          <w:szCs w:val="24"/>
          <w:vertAlign w:val="superscript"/>
          <w:lang w:val="en-US"/>
        </w:rPr>
        <w:t>[14]</w:t>
      </w:r>
      <w:r>
        <w:rPr>
          <w:rFonts w:ascii="Times New Roman" w:hAnsi="Times New Roman" w:eastAsia="Calibri" w:cs="Times New Roman"/>
          <w:color w:val="000000"/>
          <w:sz w:val="24"/>
          <w:szCs w:val="24"/>
          <w:lang w:val="en-US"/>
        </w:rPr>
        <w:t xml:space="preserve">. Pb is a metal that has excessively poisoning properties. According to World Health Organization, acceptable weekly Pb intake is </w:t>
      </w:r>
      <w:r>
        <w:rPr>
          <w:rStyle w:val="5"/>
          <w:rFonts w:ascii="Times New Roman" w:hAnsi="Times New Roman" w:cs="Times New Roman"/>
          <w:b w:val="0"/>
          <w:sz w:val="24"/>
          <w:szCs w:val="24"/>
          <w:lang w:val="en-US"/>
        </w:rPr>
        <w:t>25 µg/kg body weights b</w:t>
      </w:r>
      <w:r>
        <w:rPr>
          <w:rFonts w:ascii="Times New Roman" w:hAnsi="Times New Roman" w:eastAsia="Calibri" w:cs="Times New Roman"/>
          <w:color w:val="000000"/>
          <w:sz w:val="24"/>
          <w:szCs w:val="24"/>
          <w:lang w:val="en-US"/>
        </w:rPr>
        <w:t>ecause of its extremely toxic properties</w:t>
      </w:r>
      <w:r>
        <w:rPr>
          <w:rFonts w:ascii="Times New Roman" w:hAnsi="Times New Roman" w:cs="Times New Roman"/>
          <w:color w:val="000000"/>
          <w:sz w:val="24"/>
          <w:szCs w:val="24"/>
          <w:vertAlign w:val="superscript"/>
          <w:lang w:val="en-US"/>
        </w:rPr>
        <w:t>[15,16]</w:t>
      </w:r>
      <w:r>
        <w:rPr>
          <w:rFonts w:ascii="Times New Roman" w:hAnsi="Times New Roman" w:eastAsia="Calibri" w:cs="Times New Roman"/>
          <w:color w:val="000000"/>
          <w:sz w:val="24"/>
          <w:szCs w:val="24"/>
          <w:lang w:val="en-US"/>
        </w:rPr>
        <w:t>. Co is an essential element for B12 vitamin at living species, but it is very toxic at high level intakes</w:t>
      </w:r>
      <w:r>
        <w:rPr>
          <w:rFonts w:ascii="Times New Roman" w:hAnsi="Times New Roman" w:cs="Times New Roman"/>
          <w:color w:val="000000"/>
          <w:sz w:val="24"/>
          <w:szCs w:val="24"/>
          <w:vertAlign w:val="superscript"/>
          <w:lang w:val="en-US"/>
        </w:rPr>
        <w:t>[17]</w:t>
      </w:r>
      <w:r>
        <w:rPr>
          <w:rFonts w:ascii="Times New Roman" w:hAnsi="Times New Roman" w:eastAsia="Calibri" w:cs="Times New Roman"/>
          <w:color w:val="000000"/>
          <w:sz w:val="24"/>
          <w:szCs w:val="24"/>
          <w:lang w:val="en-US"/>
        </w:rPr>
        <w:t>. Also, it was determined that high Cu levels higher than 2 mg/kg in drinking water caused vomiting, stomachache, and nausea</w:t>
      </w:r>
      <w:r>
        <w:rPr>
          <w:rFonts w:ascii="Times New Roman" w:hAnsi="Times New Roman" w:cs="Times New Roman"/>
          <w:color w:val="000000"/>
          <w:sz w:val="24"/>
          <w:szCs w:val="24"/>
          <w:vertAlign w:val="superscript"/>
          <w:lang w:val="en-US"/>
        </w:rPr>
        <w:t>[17,18]</w:t>
      </w:r>
      <w:r>
        <w:rPr>
          <w:rFonts w:ascii="Times New Roman" w:hAnsi="Times New Roman" w:eastAsia="Calibri" w:cs="Times New Roman"/>
          <w:color w:val="000000"/>
          <w:sz w:val="24"/>
          <w:szCs w:val="24"/>
          <w:lang w:val="en-US"/>
        </w:rPr>
        <w:t>.</w:t>
      </w:r>
    </w:p>
    <w:p>
      <w:pPr>
        <w:spacing w:after="120" w:line="240" w:lineRule="auto"/>
        <w:ind w:firstLine="240" w:firstLineChars="10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Organochloride pesticides are components that need to be tracked and inspected for pollution controls and health protections because organochloride pesticides stay active in environment for a long time, have biological accumulation properties and potential hazards to environment and living bodies. Organochloride pesticides can remain without degradation for a long time, dissolve in lipids, and their biological degradations and bio-transformations are too slow. Therefore, organochloride pesticides display unfavorable effects by causing various lives bio-magnifications, and also they were determined to be able to reach human beings via food chain</w:t>
      </w:r>
      <w:r>
        <w:rPr>
          <w:rFonts w:ascii="Times New Roman" w:hAnsi="Times New Roman" w:cs="Times New Roman"/>
          <w:color w:val="000000"/>
          <w:sz w:val="24"/>
          <w:szCs w:val="24"/>
          <w:vertAlign w:val="superscript"/>
          <w:lang w:val="en-US"/>
        </w:rPr>
        <w:t>[19]</w:t>
      </w:r>
      <w:r>
        <w:rPr>
          <w:rFonts w:ascii="Times New Roman" w:hAnsi="Times New Roman" w:cs="Times New Roman"/>
          <w:color w:val="000000"/>
          <w:sz w:val="24"/>
          <w:szCs w:val="24"/>
          <w:lang w:val="en-US"/>
        </w:rPr>
        <w:t>. Insecticides can move away from a region to another region by means of winds and insect movements and affect environment adversely. In the atmosphere, the most found organochlorine compounds among the insecticides are DDT, α-HCH, γ-HCH (lindan), heptachlor, dieldrin</w:t>
      </w:r>
      <w:r>
        <w:rPr>
          <w:rFonts w:ascii="Times New Roman" w:hAnsi="Times New Roman" w:cs="Times New Roman"/>
          <w:color w:val="000000"/>
          <w:sz w:val="24"/>
          <w:szCs w:val="24"/>
          <w:vertAlign w:val="superscript"/>
          <w:lang w:val="en-US"/>
        </w:rPr>
        <w:t>[20,21]</w:t>
      </w:r>
      <w:r>
        <w:rPr>
          <w:rFonts w:ascii="Times New Roman" w:hAnsi="Times New Roman" w:eastAsia="Calibri" w:cs="Times New Roman"/>
          <w:color w:val="000000"/>
          <w:sz w:val="24"/>
          <w:szCs w:val="24"/>
          <w:lang w:val="en-US"/>
        </w:rPr>
        <w:t>. The plants take pesticides to their structures directly or indirectly from soil, water, and air, and then these pesticides join the food chain when used by living species</w:t>
      </w:r>
      <w:r>
        <w:rPr>
          <w:rFonts w:ascii="Times New Roman" w:hAnsi="Times New Roman" w:cs="Times New Roman"/>
          <w:color w:val="000000"/>
          <w:sz w:val="24"/>
          <w:szCs w:val="24"/>
          <w:vertAlign w:val="superscript"/>
          <w:lang w:val="en-US"/>
        </w:rPr>
        <w:t>[22-26]</w:t>
      </w:r>
      <w:r>
        <w:rPr>
          <w:rFonts w:ascii="Times New Roman" w:hAnsi="Times New Roman" w:eastAsia="Calibri" w:cs="Times New Roman"/>
          <w:color w:val="000000"/>
          <w:sz w:val="24"/>
          <w:szCs w:val="24"/>
          <w:lang w:val="en-US"/>
        </w:rPr>
        <w:t>. Hence, pesticides and their amounts in nature continuously need to be tracked and determined to take their damages under control.</w:t>
      </w: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Turkey is the one of the developing countries in the world, but fast industrialization and unconscious activities have brought about environmental problems. T</w:t>
      </w:r>
      <w:r>
        <w:rPr>
          <w:rFonts w:ascii="Times New Roman" w:hAnsi="Times New Roman" w:cs="Times New Roman"/>
          <w:color w:val="000000"/>
          <w:sz w:val="24"/>
          <w:szCs w:val="24"/>
          <w:lang w:val="en-US"/>
        </w:rPr>
        <w:t>he amounts of pollutions and heavy metals have increased in Turkey because of increasing traffic density, urbanization, and fast industrialization</w:t>
      </w:r>
      <w:r>
        <w:rPr>
          <w:rFonts w:ascii="Times New Roman" w:hAnsi="Times New Roman" w:cs="Times New Roman"/>
          <w:color w:val="000000"/>
          <w:sz w:val="24"/>
          <w:szCs w:val="24"/>
          <w:vertAlign w:val="superscript"/>
          <w:lang w:val="en-US"/>
        </w:rPr>
        <w:t>[27]</w:t>
      </w:r>
      <w:r>
        <w:rPr>
          <w:rFonts w:ascii="Times New Roman" w:hAnsi="Times New Roman" w:cs="Times New Roman"/>
          <w:sz w:val="24"/>
          <w:szCs w:val="24"/>
          <w:lang w:val="en-US"/>
        </w:rPr>
        <w:t xml:space="preserve">. In this study, heavy metals (Pb, Ni, Cu, Mn, Cd, Cr, Co, Zn, Mo, and Fe) and </w:t>
      </w:r>
      <w:r>
        <w:rPr>
          <w:rFonts w:ascii="Times New Roman" w:hAnsi="Times New Roman" w:cs="Times New Roman"/>
          <w:color w:val="000000"/>
          <w:sz w:val="24"/>
          <w:szCs w:val="24"/>
          <w:lang w:val="en-US"/>
        </w:rPr>
        <w:t xml:space="preserve">organochloride pesticides </w:t>
      </w:r>
      <w:r>
        <w:rPr>
          <w:rFonts w:ascii="Times New Roman" w:hAnsi="Times New Roman" w:cs="Times New Roman"/>
          <w:sz w:val="24"/>
          <w:szCs w:val="24"/>
          <w:lang w:val="en-US"/>
        </w:rPr>
        <w:t>(∑BHC: [α-BHC, β-BHC, γ-BHC, and δ-BHC], ∑DDT: [4,4’-DDD, 4,4’-DDE, and 4,4’-DDT], α-Endosulfan, β-Endosulfan, Endosulfan sulfate, Heptachlor, Heptachlor-endo-epoxide, Aldrin, Dieldrin, Endrin aldehyde, Endrin ketone, Endrin and Methoxychlor) were analyzed in the mixture of leaves and flowers from linden trees in Kırklareli, Turkey. For this aim, flame atomic absorption spectroscopy (FAAS) was used after the samples were dissolved with microwave method, and gas chromatography mass spectroscopy (GC-MS) was utilized after the samples were prepared for analyses by using QuEChERS method.</w:t>
      </w:r>
    </w:p>
    <w:p>
      <w:pPr>
        <w:spacing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 Experimental</w:t>
      </w:r>
    </w:p>
    <w:p>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 Study Area and Sample Collection</w:t>
      </w:r>
    </w:p>
    <w:p>
      <w:pPr>
        <w:spacing w:after="12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As a bio monitor for the determination of heavy metals and pesticides,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leaves and flowers from linden trees were collected in five different regions in Kırklareli, Turkey, seen in Figure 1. Kırklareli province borders the province of Istanbul to the southeast, the province of Tekirdağ to the south, and the province Edirne to the west. Also, Kırklareli neighbours Bulgaria to the north, and its total population, including villages too, is 356,050 (year 2017). In Figure 1, traffic density relations of sample collection areas are 1&lt;4&lt;2&lt;3&lt;5, and the coordinates of these sites are given in Table 1. Moreover, site 1 has been determined as control point because the population of site 1 is 250, and agriculture and livestock breeding are significant in site 1.</w:t>
      </w:r>
    </w:p>
    <w:p>
      <w:pPr>
        <w:spacing w:after="12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Linden trees (</w:t>
      </w:r>
      <w:r>
        <w:rPr>
          <w:rFonts w:ascii="Times New Roman" w:hAnsi="Times New Roman" w:cs="Times New Roman"/>
          <w:i/>
          <w:sz w:val="24"/>
          <w:szCs w:val="24"/>
          <w:lang w:val="en-US"/>
        </w:rPr>
        <w:t>Tilia tomentosa L.</w:t>
      </w:r>
      <w:r>
        <w:rPr>
          <w:rFonts w:ascii="Times New Roman" w:hAnsi="Times New Roman" w:cs="Times New Roman"/>
          <w:sz w:val="24"/>
          <w:szCs w:val="24"/>
          <w:lang w:val="en-US"/>
        </w:rPr>
        <w:t>) grow abundantly in Kırklareli. Linden is from the plant family of Tiliaceae, and a linden tree can reach a height of 20 to 30 meters. The leaves of linden trees grow to 5-10 cm, and the leaves and flowers of linden trees are widely used to make tea in Turkey. Also, linden tea consumptions increase in cold months because of its curative effects. The samples collected in these five regions were washed with tap water and then with ultra-distilled water. After that, the samples were dried at 35 °C and homogenized in an agate mortar for each sample separately.</w:t>
      </w:r>
    </w:p>
    <w:p>
      <w:pPr>
        <w:spacing w:after="120" w:line="240" w:lineRule="auto"/>
        <w:ind w:firstLine="240" w:firstLineChars="100"/>
        <w:jc w:val="both"/>
        <w:rPr>
          <w:rFonts w:ascii="Times New Roman" w:hAnsi="Times New Roman" w:cs="Times New Roman"/>
          <w:sz w:val="24"/>
          <w:szCs w:val="24"/>
          <w:lang w:val="en-US"/>
        </w:rPr>
      </w:pPr>
    </w:p>
    <w:p>
      <w:pPr>
        <w:spacing w:line="240" w:lineRule="auto"/>
        <w:ind w:firstLine="240" w:firstLineChars="100"/>
        <w:jc w:val="center"/>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extent cx="4510405" cy="3610610"/>
            <wp:effectExtent l="19050" t="19050" r="23495" b="279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10800" cy="3610800"/>
                    </a:xfrm>
                    <a:prstGeom prst="rect">
                      <a:avLst/>
                    </a:prstGeom>
                    <a:noFill/>
                    <a:ln w="9525">
                      <a:solidFill>
                        <a:schemeClr val="tx1"/>
                      </a:solidFill>
                    </a:ln>
                  </pic:spPr>
                </pic:pic>
              </a:graphicData>
            </a:graphic>
          </wp:inline>
        </w:drawing>
      </w:r>
    </w:p>
    <w:p>
      <w:pPr>
        <w:spacing w:line="240" w:lineRule="auto"/>
        <w:ind w:firstLine="0" w:firstLineChars="0"/>
        <w:jc w:val="both"/>
        <w:rPr>
          <w:rFonts w:ascii="Times New Roman" w:hAnsi="Times New Roman" w:cs="Times New Roman"/>
          <w:sz w:val="24"/>
          <w:szCs w:val="24"/>
          <w:lang w:val="en-US"/>
        </w:rPr>
      </w:pPr>
      <w:r>
        <w:rPr>
          <w:rFonts w:ascii="Times New Roman" w:hAnsi="Times New Roman" w:cs="Times New Roman"/>
          <w:b/>
          <w:sz w:val="24"/>
          <w:szCs w:val="24"/>
          <w:lang w:val="en-US"/>
        </w:rPr>
        <w:t>Figure 1</w:t>
      </w:r>
      <w:r>
        <w:rPr>
          <w:rFonts w:ascii="Times New Roman" w:hAnsi="Times New Roman" w:cs="Times New Roman"/>
          <w:sz w:val="24"/>
          <w:szCs w:val="24"/>
          <w:lang w:val="en-US"/>
        </w:rPr>
        <w:t xml:space="preserve"> Collection areas of the leaves and flowers from linden trees in Kırklareli province.</w:t>
      </w:r>
    </w:p>
    <w:p>
      <w:pPr>
        <w:spacing w:line="240" w:lineRule="auto"/>
        <w:ind w:firstLine="240" w:firstLineChars="100"/>
        <w:jc w:val="both"/>
        <w:rPr>
          <w:rFonts w:ascii="Times New Roman" w:hAnsi="Times New Roman" w:cs="Times New Roman"/>
          <w:sz w:val="24"/>
          <w:szCs w:val="24"/>
          <w:lang w:val="en-US"/>
        </w:rPr>
      </w:pPr>
    </w:p>
    <w:tbl>
      <w:tblPr>
        <w:tblStyle w:val="7"/>
        <w:tblW w:w="9214"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850"/>
        <w:gridCol w:w="709"/>
        <w:gridCol w:w="1424"/>
        <w:gridCol w:w="1016"/>
        <w:gridCol w:w="820"/>
        <w:gridCol w:w="1134"/>
        <w:gridCol w:w="1001"/>
        <w:gridCol w:w="126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bottom w:val="nil"/>
            </w:tcBorders>
          </w:tcPr>
          <w:p>
            <w:pPr>
              <w:spacing w:after="0" w:line="240" w:lineRule="auto"/>
              <w:ind w:firstLine="240" w:firstLineChars="100"/>
              <w:jc w:val="both"/>
              <w:rPr>
                <w:rFonts w:ascii="Times New Roman" w:hAnsi="Times New Roman" w:cs="Times New Roman"/>
                <w:sz w:val="24"/>
                <w:szCs w:val="24"/>
                <w:lang w:val="en-US"/>
              </w:rPr>
            </w:pPr>
          </w:p>
        </w:tc>
        <w:tc>
          <w:tcPr>
            <w:tcW w:w="850" w:type="dxa"/>
            <w:tcBorders>
              <w:top w:val="single" w:color="auto" w:sz="4" w:space="0"/>
              <w:bottom w:val="nil"/>
            </w:tcBorders>
          </w:tcPr>
          <w:p>
            <w:pPr>
              <w:spacing w:after="0" w:line="240" w:lineRule="auto"/>
              <w:ind w:firstLine="240" w:firstLineChars="100"/>
              <w:jc w:val="both"/>
              <w:rPr>
                <w:rFonts w:ascii="Times New Roman" w:hAnsi="Times New Roman" w:cs="Times New Roman"/>
                <w:sz w:val="24"/>
                <w:szCs w:val="24"/>
                <w:lang w:val="en-US"/>
              </w:rPr>
            </w:pPr>
          </w:p>
        </w:tc>
        <w:tc>
          <w:tcPr>
            <w:tcW w:w="3149" w:type="dxa"/>
            <w:gridSpan w:val="3"/>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Latitude N</w:t>
            </w:r>
          </w:p>
        </w:tc>
        <w:tc>
          <w:tcPr>
            <w:tcW w:w="820" w:type="dxa"/>
            <w:tcBorders>
              <w:top w:val="single" w:color="auto" w:sz="4" w:space="0"/>
              <w:bottom w:val="nil"/>
            </w:tcBorders>
          </w:tcPr>
          <w:p>
            <w:pPr>
              <w:spacing w:after="0" w:line="240" w:lineRule="auto"/>
              <w:ind w:firstLine="240" w:firstLineChars="100"/>
              <w:jc w:val="both"/>
              <w:rPr>
                <w:rFonts w:ascii="Times New Roman" w:hAnsi="Times New Roman" w:cs="Times New Roman"/>
                <w:b/>
                <w:bCs/>
                <w:sz w:val="24"/>
                <w:szCs w:val="24"/>
                <w:lang w:val="en-US"/>
              </w:rPr>
            </w:pPr>
          </w:p>
        </w:tc>
        <w:tc>
          <w:tcPr>
            <w:tcW w:w="3402" w:type="dxa"/>
            <w:gridSpan w:val="3"/>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Longitude 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nil"/>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b/>
                <w:bCs/>
                <w:sz w:val="24"/>
                <w:szCs w:val="24"/>
                <w:lang w:val="en-US"/>
              </w:rPr>
              <w:t>Region</w:t>
            </w:r>
          </w:p>
        </w:tc>
        <w:tc>
          <w:tcPr>
            <w:tcW w:w="850" w:type="dxa"/>
            <w:tcBorders>
              <w:top w:val="nil"/>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p>
        </w:tc>
        <w:tc>
          <w:tcPr>
            <w:tcW w:w="709" w:type="dxa"/>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24" w:type="dxa"/>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ʹ</w:t>
            </w:r>
          </w:p>
        </w:tc>
        <w:tc>
          <w:tcPr>
            <w:tcW w:w="1016" w:type="dxa"/>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ʺ</w:t>
            </w:r>
          </w:p>
        </w:tc>
        <w:tc>
          <w:tcPr>
            <w:tcW w:w="820" w:type="dxa"/>
            <w:tcBorders>
              <w:top w:val="nil"/>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p>
        </w:tc>
        <w:tc>
          <w:tcPr>
            <w:tcW w:w="1134" w:type="dxa"/>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001" w:type="dxa"/>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ʹ</w:t>
            </w:r>
          </w:p>
        </w:tc>
        <w:tc>
          <w:tcPr>
            <w:tcW w:w="1267" w:type="dxa"/>
            <w:tcBorders>
              <w:top w:val="single" w:color="auto" w:sz="4" w:space="0"/>
              <w:bottom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0"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p>
        </w:tc>
        <w:tc>
          <w:tcPr>
            <w:tcW w:w="709"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24"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016"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49.138</w:t>
            </w:r>
          </w:p>
        </w:tc>
        <w:tc>
          <w:tcPr>
            <w:tcW w:w="820"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p>
        </w:tc>
        <w:tc>
          <w:tcPr>
            <w:tcW w:w="1134"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001"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67" w:type="dxa"/>
            <w:tcBorders>
              <w:top w:val="single" w:color="auto" w:sz="4" w:space="0"/>
            </w:tcBorders>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48.438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trPr>
        <w:tc>
          <w:tcPr>
            <w:tcW w:w="993"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pPr>
              <w:spacing w:after="0" w:line="240" w:lineRule="auto"/>
              <w:ind w:firstLine="240" w:firstLineChars="100"/>
              <w:jc w:val="both"/>
              <w:rPr>
                <w:rFonts w:ascii="Times New Roman" w:hAnsi="Times New Roman" w:cs="Times New Roman"/>
                <w:sz w:val="24"/>
                <w:szCs w:val="24"/>
                <w:lang w:val="en-US"/>
              </w:rPr>
            </w:pPr>
          </w:p>
        </w:tc>
        <w:tc>
          <w:tcPr>
            <w:tcW w:w="709"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2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016"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37.086</w:t>
            </w:r>
          </w:p>
        </w:tc>
        <w:tc>
          <w:tcPr>
            <w:tcW w:w="820" w:type="dxa"/>
          </w:tcPr>
          <w:p>
            <w:pPr>
              <w:spacing w:after="0" w:line="240" w:lineRule="auto"/>
              <w:ind w:firstLine="240" w:firstLineChars="100"/>
              <w:jc w:val="both"/>
              <w:rPr>
                <w:rFonts w:ascii="Times New Roman" w:hAnsi="Times New Roman" w:cs="Times New Roman"/>
                <w:sz w:val="24"/>
                <w:szCs w:val="24"/>
                <w:lang w:val="en-US"/>
              </w:rPr>
            </w:pPr>
          </w:p>
        </w:tc>
        <w:tc>
          <w:tcPr>
            <w:tcW w:w="113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001"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67"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26.360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50" w:type="dxa"/>
          </w:tcPr>
          <w:p>
            <w:pPr>
              <w:spacing w:after="0" w:line="240" w:lineRule="auto"/>
              <w:ind w:firstLine="240" w:firstLineChars="100"/>
              <w:jc w:val="both"/>
              <w:rPr>
                <w:rFonts w:ascii="Times New Roman" w:hAnsi="Times New Roman" w:cs="Times New Roman"/>
                <w:sz w:val="24"/>
                <w:szCs w:val="24"/>
                <w:lang w:val="en-US"/>
              </w:rPr>
            </w:pPr>
          </w:p>
        </w:tc>
        <w:tc>
          <w:tcPr>
            <w:tcW w:w="709"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2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016"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47.143</w:t>
            </w:r>
          </w:p>
        </w:tc>
        <w:tc>
          <w:tcPr>
            <w:tcW w:w="820" w:type="dxa"/>
          </w:tcPr>
          <w:p>
            <w:pPr>
              <w:spacing w:after="0" w:line="240" w:lineRule="auto"/>
              <w:ind w:firstLine="240" w:firstLineChars="100"/>
              <w:jc w:val="both"/>
              <w:rPr>
                <w:rFonts w:ascii="Times New Roman" w:hAnsi="Times New Roman" w:cs="Times New Roman"/>
                <w:sz w:val="24"/>
                <w:szCs w:val="24"/>
                <w:lang w:val="en-US"/>
              </w:rPr>
            </w:pPr>
          </w:p>
        </w:tc>
        <w:tc>
          <w:tcPr>
            <w:tcW w:w="113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001"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267"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10.792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50" w:type="dxa"/>
          </w:tcPr>
          <w:p>
            <w:pPr>
              <w:spacing w:after="0" w:line="240" w:lineRule="auto"/>
              <w:ind w:firstLine="240" w:firstLineChars="100"/>
              <w:jc w:val="both"/>
              <w:rPr>
                <w:rFonts w:ascii="Times New Roman" w:hAnsi="Times New Roman" w:cs="Times New Roman"/>
                <w:sz w:val="24"/>
                <w:szCs w:val="24"/>
                <w:lang w:val="en-US"/>
              </w:rPr>
            </w:pPr>
          </w:p>
        </w:tc>
        <w:tc>
          <w:tcPr>
            <w:tcW w:w="709"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2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016"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37.693</w:t>
            </w:r>
          </w:p>
        </w:tc>
        <w:tc>
          <w:tcPr>
            <w:tcW w:w="820" w:type="dxa"/>
          </w:tcPr>
          <w:p>
            <w:pPr>
              <w:spacing w:after="0" w:line="240" w:lineRule="auto"/>
              <w:ind w:firstLine="240" w:firstLineChars="100"/>
              <w:jc w:val="both"/>
              <w:rPr>
                <w:rFonts w:ascii="Times New Roman" w:hAnsi="Times New Roman" w:cs="Times New Roman"/>
                <w:sz w:val="24"/>
                <w:szCs w:val="24"/>
                <w:lang w:val="en-US"/>
              </w:rPr>
            </w:pPr>
          </w:p>
        </w:tc>
        <w:tc>
          <w:tcPr>
            <w:tcW w:w="113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001"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267"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10.558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50" w:type="dxa"/>
          </w:tcPr>
          <w:p>
            <w:pPr>
              <w:spacing w:after="0" w:line="240" w:lineRule="auto"/>
              <w:ind w:firstLine="240" w:firstLineChars="100"/>
              <w:jc w:val="both"/>
              <w:rPr>
                <w:rFonts w:ascii="Times New Roman" w:hAnsi="Times New Roman" w:cs="Times New Roman"/>
                <w:sz w:val="24"/>
                <w:szCs w:val="24"/>
                <w:lang w:val="en-US"/>
              </w:rPr>
            </w:pPr>
          </w:p>
        </w:tc>
        <w:tc>
          <w:tcPr>
            <w:tcW w:w="709"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2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016"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49.373</w:t>
            </w:r>
          </w:p>
        </w:tc>
        <w:tc>
          <w:tcPr>
            <w:tcW w:w="820" w:type="dxa"/>
          </w:tcPr>
          <w:p>
            <w:pPr>
              <w:spacing w:after="0" w:line="240" w:lineRule="auto"/>
              <w:ind w:firstLine="240" w:firstLineChars="100"/>
              <w:jc w:val="both"/>
              <w:rPr>
                <w:rFonts w:ascii="Times New Roman" w:hAnsi="Times New Roman" w:cs="Times New Roman"/>
                <w:sz w:val="24"/>
                <w:szCs w:val="24"/>
                <w:lang w:val="en-US"/>
              </w:rPr>
            </w:pPr>
          </w:p>
        </w:tc>
        <w:tc>
          <w:tcPr>
            <w:tcW w:w="1134"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001"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267" w:type="dxa"/>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14.085</w:t>
            </w:r>
          </w:p>
        </w:tc>
      </w:tr>
    </w:tbl>
    <w:p>
      <w:pPr>
        <w:spacing w:after="0" w:line="240" w:lineRule="auto"/>
        <w:ind w:firstLine="240" w:firstLineChars="100"/>
        <w:jc w:val="center"/>
        <w:rPr>
          <w:rFonts w:ascii="Times New Roman" w:hAnsi="Times New Roman" w:cs="Times New Roman"/>
          <w:sz w:val="24"/>
          <w:szCs w:val="24"/>
          <w:lang w:val="en-US"/>
        </w:rPr>
      </w:pPr>
      <w:r>
        <w:rPr>
          <w:rFonts w:ascii="Times New Roman" w:hAnsi="Times New Roman" w:cs="Times New Roman"/>
          <w:b/>
          <w:sz w:val="24"/>
          <w:szCs w:val="24"/>
          <w:lang w:val="en-US"/>
        </w:rPr>
        <w:t>Table 1</w:t>
      </w:r>
      <w:r>
        <w:rPr>
          <w:rFonts w:hint="eastAsia" w:ascii="Times New Roman" w:hAnsi="Times New Roman" w:eastAsia="宋体" w:cs="Times New Roman"/>
          <w:b/>
          <w:sz w:val="24"/>
          <w:szCs w:val="24"/>
          <w:lang w:val="en-US" w:eastAsia="zh-CN"/>
        </w:rPr>
        <w:t xml:space="preserve">. </w:t>
      </w:r>
      <w:r>
        <w:rPr>
          <w:rFonts w:ascii="Times New Roman" w:hAnsi="Times New Roman" w:cs="Times New Roman"/>
          <w:sz w:val="24"/>
          <w:szCs w:val="24"/>
          <w:lang w:val="en-US"/>
        </w:rPr>
        <w:t>Coordinates of each sampling region in Kırklareli province.</w:t>
      </w:r>
    </w:p>
    <w:p>
      <w:pPr>
        <w:spacing w:line="240" w:lineRule="auto"/>
        <w:ind w:firstLine="240" w:firstLineChars="100"/>
        <w:jc w:val="center"/>
        <w:rPr>
          <w:rFonts w:ascii="Times New Roman" w:hAnsi="Times New Roman" w:cs="Times New Roman"/>
          <w:sz w:val="24"/>
          <w:szCs w:val="24"/>
          <w:lang w:val="en-US"/>
        </w:rPr>
      </w:pP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sz w:val="24"/>
          <w:szCs w:val="24"/>
          <w:lang w:val="en-US"/>
        </w:rPr>
        <w:t>2.2. Reagents</w:t>
      </w: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All chemical reagents used are Merck and they have analytical grades. Metal standards (SRM; standard reference material) are NIST stock solutions with 1000 ppm. Dr. Ehrenstorfer organochlorine pesticide Mix 2 (HCH; hexachlorocyclohexane (α, β, γ, δ), Heptachlor, Heptachlor-endo-epoxide, Aldrin; HHDN, α-Endosulfan, 4,4'-DDE, 4,4'-DDD, 4,4'-DDT, Dieldrin, Endrin, β-Endosulfan, Endrin-aldheyde, Endosulfan-sulfate, Endrin-ketone, Methoxychlor) was used as </w:t>
      </w:r>
      <w:r>
        <w:rPr>
          <w:rFonts w:ascii="Times New Roman" w:hAnsi="Times New Roman" w:cs="Times New Roman"/>
          <w:bCs/>
          <w:sz w:val="24"/>
          <w:szCs w:val="24"/>
          <w:lang w:val="en-US"/>
        </w:rPr>
        <w:t xml:space="preserve">organochloride pesticide standards for residue analysis. </w:t>
      </w:r>
      <w:r>
        <w:rPr>
          <w:rFonts w:ascii="Times New Roman" w:hAnsi="Times New Roman" w:cs="Times New Roman"/>
          <w:sz w:val="24"/>
          <w:szCs w:val="24"/>
          <w:lang w:val="en-US"/>
        </w:rPr>
        <w:t>Structural formulas of organochlorine pesticides are given in Figure 2.</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In cleaning phases, all materials, such as Erlenmeyer flasks, beakers, plastics, etc., used in experiments were cleaned by washing with detergent water, and then rinsed with plenty of water. After that, these materials were soaked in HNO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(10%, </w:t>
      </w:r>
      <w:r>
        <w:rPr>
          <w:rFonts w:ascii="Times New Roman" w:hAnsi="Times New Roman" w:cs="Times New Roman"/>
          <w:i/>
          <w:sz w:val="24"/>
          <w:szCs w:val="24"/>
          <w:lang w:val="en-US"/>
        </w:rPr>
        <w:t>v/v</w:t>
      </w:r>
      <w:r>
        <w:rPr>
          <w:rFonts w:ascii="Times New Roman" w:hAnsi="Times New Roman" w:cs="Times New Roman"/>
          <w:sz w:val="24"/>
          <w:szCs w:val="24"/>
          <w:lang w:val="en-US"/>
        </w:rPr>
        <w:t>) before rinsing with distilled water and drying in an incubator.</w:t>
      </w:r>
    </w:p>
    <w:p>
      <w:pPr>
        <w:spacing w:line="240" w:lineRule="auto"/>
        <w:ind w:firstLine="240" w:firstLineChars="100"/>
        <w:jc w:val="center"/>
        <w:rPr>
          <w:rFonts w:ascii="Times New Roman" w:hAnsi="Times New Roman" w:cs="Times New Roman"/>
          <w:sz w:val="24"/>
          <w:szCs w:val="24"/>
          <w:lang w:val="en-US"/>
        </w:rPr>
      </w:pPr>
      <w:r>
        <w:rPr>
          <w:rFonts w:ascii="Times New Roman" w:hAnsi="Times New Roman" w:cs="Times New Roman"/>
          <w:b/>
          <w:bCs/>
          <w:color w:val="000000"/>
          <w:sz w:val="24"/>
          <w:szCs w:val="24"/>
          <w:lang w:val="en-US"/>
        </w:rPr>
        <w:drawing>
          <wp:inline distT="0" distB="0" distL="0" distR="0">
            <wp:extent cx="4535805" cy="3783330"/>
            <wp:effectExtent l="19050" t="19050" r="17145" b="26670"/>
            <wp:docPr id="1" name="Resim 1" descr="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Sche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36000" cy="3783600"/>
                    </a:xfrm>
                    <a:prstGeom prst="rect">
                      <a:avLst/>
                    </a:prstGeom>
                    <a:noFill/>
                    <a:ln w="9525">
                      <a:solidFill>
                        <a:schemeClr val="tx1"/>
                      </a:solidFill>
                    </a:ln>
                  </pic:spPr>
                </pic:pic>
              </a:graphicData>
            </a:graphic>
          </wp:inline>
        </w:drawing>
      </w:r>
    </w:p>
    <w:p>
      <w:pPr>
        <w:spacing w:after="36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 2</w:t>
      </w:r>
      <w:r>
        <w:rPr>
          <w:rFonts w:ascii="Times New Roman" w:hAnsi="Times New Roman" w:cs="Times New Roman"/>
          <w:sz w:val="24"/>
          <w:szCs w:val="24"/>
          <w:lang w:val="en-US"/>
        </w:rPr>
        <w:t xml:space="preserve"> Structural formulas of organochlorine pesticides.</w:t>
      </w:r>
    </w:p>
    <w:p>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2.3. Preparation of Metal and Organochloride Standard Solutions</w:t>
      </w: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stock solutions of 1000 ppm, the solutions with 50 ppm were prepared by diluting with ultra-distilled water. Then, these standard solutions were adjusted to </w:t>
      </w:r>
      <w:r>
        <w:rPr>
          <w:rFonts w:ascii="Times New Roman" w:hAnsi="Times New Roman" w:cs="Times New Roman"/>
          <w:bCs/>
          <w:sz w:val="24"/>
          <w:szCs w:val="24"/>
          <w:lang w:val="en-US"/>
        </w:rPr>
        <w:t xml:space="preserve">0.01-1.0 mg/L for Cd, 0.1-2.0 mg/L for Pb, 0.5-10.0 mg/L for Fe, 0.1-2.5 mg/L for Cr, 0.5-5.0 mg/L for Mo, 0.1-2.0 mg/L for Ni, 0.1-5.0 mg/L for Mn, 0.05-2.5 mg/L for Cu, 0.1-2 mg/L for Zn measurements. For </w:t>
      </w:r>
      <w:r>
        <w:rPr>
          <w:rFonts w:ascii="Times New Roman" w:hAnsi="Times New Roman" w:cs="Times New Roman"/>
          <w:sz w:val="24"/>
          <w:szCs w:val="24"/>
          <w:lang w:val="en-US"/>
        </w:rPr>
        <w:t>organochlorine pesticide,</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2000 ng/µl for 1 mL</w:t>
      </w:r>
      <w:r>
        <w:rPr>
          <w:rFonts w:ascii="Times New Roman" w:hAnsi="Times New Roman" w:cs="Times New Roman"/>
          <w:bCs/>
          <w:sz w:val="24"/>
          <w:szCs w:val="24"/>
          <w:lang w:val="en-US"/>
        </w:rPr>
        <w:t xml:space="preserve"> was prepared in the mixture of toluene/hexane (1/1)</w:t>
      </w:r>
      <w:r>
        <w:rPr>
          <w:rFonts w:ascii="Times New Roman" w:hAnsi="Times New Roman" w:cs="Times New Roman"/>
          <w:sz w:val="24"/>
          <w:szCs w:val="24"/>
          <w:lang w:val="en-US"/>
        </w:rPr>
        <w:t>. From the stock solution, standard solutions with 5, 10, 25, 50, 100, 500, and 1000 ppb were prepared by diluting in hexane. At the optimization studies, the organochloride pesticide standard with 100 ppb was used.</w:t>
      </w: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sz w:val="24"/>
          <w:szCs w:val="24"/>
          <w:lang w:val="en-US"/>
        </w:rPr>
        <w:t>2.4. Methods</w:t>
      </w: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cs="Times New Roman"/>
          <w:sz w:val="24"/>
          <w:szCs w:val="24"/>
          <w:lang w:val="en-US"/>
        </w:rPr>
        <w:t xml:space="preserve">Metal analyses were achieved by using FAAS (Agilent, 240 Duo), and the parameters related to measurements are presented in Table 2. </w:t>
      </w:r>
      <w:r>
        <w:rPr>
          <w:rFonts w:ascii="Times New Roman" w:hAnsi="Times New Roman" w:eastAsia="Times New Roman" w:cs="Times New Roman"/>
          <w:color w:val="000000"/>
          <w:sz w:val="24"/>
          <w:szCs w:val="24"/>
          <w:lang w:val="en-US" w:eastAsia="tr-TR"/>
        </w:rPr>
        <w:t>Also, correlation coefficients (R</w:t>
      </w:r>
      <w:r>
        <w:rPr>
          <w:rFonts w:ascii="Times New Roman" w:hAnsi="Times New Roman" w:eastAsia="Times New Roman" w:cs="Times New Roman"/>
          <w:color w:val="000000"/>
          <w:sz w:val="24"/>
          <w:szCs w:val="24"/>
          <w:vertAlign w:val="superscript"/>
          <w:lang w:val="en-US" w:eastAsia="tr-TR"/>
        </w:rPr>
        <w:t>2</w:t>
      </w:r>
      <w:r>
        <w:rPr>
          <w:rFonts w:ascii="Times New Roman" w:hAnsi="Times New Roman" w:eastAsia="Times New Roman" w:cs="Times New Roman"/>
          <w:color w:val="000000"/>
          <w:sz w:val="24"/>
          <w:szCs w:val="24"/>
          <w:lang w:val="en-US" w:eastAsia="tr-TR"/>
        </w:rPr>
        <w:t>) of all metal standards were determined to be higher than 0.99 from their calibration curves.</w:t>
      </w: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p>
    <w:tbl>
      <w:tblPr>
        <w:tblStyle w:val="6"/>
        <w:tblW w:w="9184"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1633"/>
        <w:gridCol w:w="1800"/>
        <w:gridCol w:w="1633"/>
        <w:gridCol w:w="981"/>
        <w:gridCol w:w="1197"/>
        <w:gridCol w:w="92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Merge w:val="restart"/>
            <w:tcBorders>
              <w:top w:val="single" w:color="auto" w:sz="4" w:space="0"/>
            </w:tcBorders>
            <w:vAlign w:val="center"/>
          </w:tcPr>
          <w:p>
            <w:pPr>
              <w:spacing w:after="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bCs w:val="0"/>
                <w:sz w:val="24"/>
                <w:szCs w:val="24"/>
                <w:lang w:val="en-US"/>
              </w:rPr>
              <w:t>Element</w:t>
            </w:r>
          </w:p>
        </w:tc>
        <w:tc>
          <w:tcPr>
            <w:tcW w:w="1633" w:type="dxa"/>
            <w:vMerge w:val="restart"/>
            <w:tcBorders>
              <w:top w:val="single" w:color="auto" w:sz="4" w:space="0"/>
            </w:tcBorders>
            <w:vAlign w:val="center"/>
          </w:tcPr>
          <w:p>
            <w:pPr>
              <w:spacing w:after="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bCs w:val="0"/>
                <w:sz w:val="24"/>
                <w:szCs w:val="24"/>
                <w:lang w:val="en-US"/>
              </w:rPr>
              <w:t>Wavelength (nm)</w:t>
            </w:r>
          </w:p>
        </w:tc>
        <w:tc>
          <w:tcPr>
            <w:tcW w:w="1800" w:type="dxa"/>
            <w:vMerge w:val="restart"/>
            <w:tcBorders>
              <w:top w:val="single" w:color="auto" w:sz="4" w:space="0"/>
            </w:tcBorders>
            <w:vAlign w:val="center"/>
          </w:tcPr>
          <w:p>
            <w:pPr>
              <w:spacing w:after="0" w:line="240" w:lineRule="auto"/>
              <w:ind w:firstLine="240" w:firstLineChars="100"/>
              <w:jc w:val="both"/>
              <w:rPr>
                <w:rFonts w:ascii="Times New Roman" w:hAnsi="Times New Roman" w:cs="Times New Roman"/>
                <w:b/>
                <w:bCs w:val="0"/>
                <w:sz w:val="24"/>
                <w:szCs w:val="24"/>
                <w:lang w:val="en-US"/>
              </w:rPr>
            </w:pPr>
            <w:r>
              <w:rPr>
                <w:rFonts w:ascii="Times New Roman" w:hAnsi="Times New Roman" w:cs="Times New Roman"/>
                <w:b/>
                <w:bCs w:val="0"/>
                <w:sz w:val="24"/>
                <w:szCs w:val="24"/>
                <w:lang w:val="en-US"/>
              </w:rPr>
              <w:t xml:space="preserve">Slit width </w:t>
            </w:r>
          </w:p>
          <w:p>
            <w:pPr>
              <w:spacing w:after="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bCs w:val="0"/>
                <w:sz w:val="24"/>
                <w:szCs w:val="24"/>
                <w:lang w:val="en-US"/>
              </w:rPr>
              <w:t>(nm)</w:t>
            </w:r>
          </w:p>
        </w:tc>
        <w:tc>
          <w:tcPr>
            <w:tcW w:w="1633" w:type="dxa"/>
            <w:vMerge w:val="restart"/>
            <w:tcBorders>
              <w:top w:val="single" w:color="auto" w:sz="4" w:space="0"/>
            </w:tcBorders>
            <w:vAlign w:val="center"/>
          </w:tcPr>
          <w:p>
            <w:pPr>
              <w:spacing w:after="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bCs w:val="0"/>
                <w:sz w:val="24"/>
                <w:szCs w:val="24"/>
                <w:lang w:val="en-US"/>
              </w:rPr>
              <w:t>Lamp current</w:t>
            </w:r>
            <w:r>
              <w:rPr>
                <w:rFonts w:ascii="Times New Roman" w:hAnsi="Times New Roman" w:cs="Times New Roman"/>
                <w:b/>
                <w:sz w:val="24"/>
                <w:szCs w:val="24"/>
                <w:lang w:val="en-US"/>
              </w:rPr>
              <w:t xml:space="preserve"> </w:t>
            </w:r>
            <w:r>
              <w:rPr>
                <w:rFonts w:ascii="Times New Roman" w:hAnsi="Times New Roman" w:cs="Times New Roman"/>
                <w:b/>
                <w:bCs w:val="0"/>
                <w:sz w:val="24"/>
                <w:szCs w:val="24"/>
                <w:lang w:val="en-US"/>
              </w:rPr>
              <w:t>(mA)</w:t>
            </w:r>
          </w:p>
        </w:tc>
        <w:tc>
          <w:tcPr>
            <w:tcW w:w="3102" w:type="dxa"/>
            <w:gridSpan w:val="3"/>
            <w:tcBorders>
              <w:top w:val="single" w:color="auto" w:sz="4" w:space="0"/>
              <w:bottom w:val="single" w:color="auto" w:sz="4" w:space="0"/>
            </w:tcBorders>
            <w:vAlign w:val="center"/>
          </w:tcPr>
          <w:p>
            <w:pPr>
              <w:spacing w:after="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bCs w:val="0"/>
                <w:sz w:val="24"/>
                <w:szCs w:val="24"/>
                <w:lang w:val="en-US"/>
              </w:rPr>
              <w:t>Flow range of flame gases (L/min)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Merge w:val="continue"/>
            <w:tcBorders>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p>
        </w:tc>
        <w:tc>
          <w:tcPr>
            <w:tcW w:w="1633" w:type="dxa"/>
            <w:vMerge w:val="continue"/>
            <w:tcBorders>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p>
        </w:tc>
        <w:tc>
          <w:tcPr>
            <w:tcW w:w="1800" w:type="dxa"/>
            <w:vMerge w:val="continue"/>
            <w:tcBorders>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p>
        </w:tc>
        <w:tc>
          <w:tcPr>
            <w:tcW w:w="1633" w:type="dxa"/>
            <w:vMerge w:val="continue"/>
            <w:tcBorders>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p>
        </w:tc>
        <w:tc>
          <w:tcPr>
            <w:tcW w:w="981" w:type="dxa"/>
            <w:tcBorders>
              <w:top w:val="single" w:color="auto" w:sz="4" w:space="0"/>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Air</w:t>
            </w:r>
          </w:p>
        </w:tc>
        <w:tc>
          <w:tcPr>
            <w:tcW w:w="1197" w:type="dxa"/>
            <w:tcBorders>
              <w:top w:val="single" w:color="auto" w:sz="4" w:space="0"/>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Acetylene</w:t>
            </w:r>
          </w:p>
        </w:tc>
        <w:tc>
          <w:tcPr>
            <w:tcW w:w="924" w:type="dxa"/>
            <w:tcBorders>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N</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O</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tcBorders>
              <w:top w:val="single" w:color="auto" w:sz="4" w:space="0"/>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Pb</w:t>
            </w:r>
          </w:p>
        </w:tc>
        <w:tc>
          <w:tcPr>
            <w:tcW w:w="1633" w:type="dxa"/>
            <w:tcBorders>
              <w:top w:val="single" w:color="auto" w:sz="4" w:space="0"/>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217.0</w:t>
            </w:r>
          </w:p>
        </w:tc>
        <w:tc>
          <w:tcPr>
            <w:tcW w:w="1800" w:type="dxa"/>
            <w:tcBorders>
              <w:top w:val="single" w:color="auto" w:sz="4" w:space="0"/>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0.7</w:t>
            </w:r>
          </w:p>
        </w:tc>
        <w:tc>
          <w:tcPr>
            <w:tcW w:w="1633" w:type="dxa"/>
            <w:tcBorders>
              <w:top w:val="single" w:color="auto" w:sz="4" w:space="0"/>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81" w:type="dxa"/>
            <w:tcBorders>
              <w:top w:val="single" w:color="auto" w:sz="4" w:space="0"/>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tcBorders>
              <w:top w:val="single" w:color="auto" w:sz="4" w:space="0"/>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tcBorders>
              <w:top w:val="single" w:color="auto" w:sz="4" w:space="0"/>
            </w:tcBorders>
            <w:vAlign w:val="center"/>
          </w:tcPr>
          <w:p>
            <w:pPr>
              <w:spacing w:after="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tcBorders>
              <w:top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Ni</w:t>
            </w:r>
          </w:p>
        </w:tc>
        <w:tc>
          <w:tcPr>
            <w:tcW w:w="1633" w:type="dxa"/>
            <w:tcBorders>
              <w:top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352.5</w:t>
            </w:r>
          </w:p>
        </w:tc>
        <w:tc>
          <w:tcPr>
            <w:tcW w:w="1800" w:type="dxa"/>
            <w:tcBorders>
              <w:top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0.2</w:t>
            </w:r>
          </w:p>
        </w:tc>
        <w:tc>
          <w:tcPr>
            <w:tcW w:w="1633" w:type="dxa"/>
            <w:tcBorders>
              <w:top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81" w:type="dxa"/>
            <w:tcBorders>
              <w:top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tcBorders>
              <w:top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Cd</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228.8</w:t>
            </w:r>
          </w:p>
        </w:tc>
        <w:tc>
          <w:tcPr>
            <w:tcW w:w="1800"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0.5</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4.0</w:t>
            </w:r>
          </w:p>
        </w:tc>
        <w:tc>
          <w:tcPr>
            <w:tcW w:w="981"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Fe</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248.3</w:t>
            </w:r>
          </w:p>
        </w:tc>
        <w:tc>
          <w:tcPr>
            <w:tcW w:w="1800"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0.2</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81"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Mn</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279.5</w:t>
            </w:r>
          </w:p>
        </w:tc>
        <w:tc>
          <w:tcPr>
            <w:tcW w:w="1800"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0.2</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81"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Zn</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213.9</w:t>
            </w:r>
          </w:p>
        </w:tc>
        <w:tc>
          <w:tcPr>
            <w:tcW w:w="1800"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5.0</w:t>
            </w:r>
          </w:p>
        </w:tc>
        <w:tc>
          <w:tcPr>
            <w:tcW w:w="981"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Mo</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313.3</w:t>
            </w:r>
          </w:p>
        </w:tc>
        <w:tc>
          <w:tcPr>
            <w:tcW w:w="1800"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0.5</w:t>
            </w:r>
          </w:p>
        </w:tc>
        <w:tc>
          <w:tcPr>
            <w:tcW w:w="1633"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81"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197"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6.5</w:t>
            </w:r>
          </w:p>
        </w:tc>
        <w:tc>
          <w:tcPr>
            <w:tcW w:w="924" w:type="dxa"/>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Cu</w:t>
            </w:r>
          </w:p>
        </w:tc>
        <w:tc>
          <w:tcPr>
            <w:tcW w:w="1633"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324.8</w:t>
            </w:r>
          </w:p>
        </w:tc>
        <w:tc>
          <w:tcPr>
            <w:tcW w:w="1800"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0.5</w:t>
            </w:r>
          </w:p>
        </w:tc>
        <w:tc>
          <w:tcPr>
            <w:tcW w:w="1633"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10.0</w:t>
            </w:r>
          </w:p>
        </w:tc>
        <w:tc>
          <w:tcPr>
            <w:tcW w:w="981"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13.5</w:t>
            </w:r>
          </w:p>
        </w:tc>
        <w:tc>
          <w:tcPr>
            <w:tcW w:w="1197"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924" w:type="dxa"/>
            <w:tcBorders>
              <w:bottom w:val="nil"/>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016"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Cr</w:t>
            </w:r>
          </w:p>
        </w:tc>
        <w:tc>
          <w:tcPr>
            <w:tcW w:w="1633"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357.9</w:t>
            </w:r>
          </w:p>
        </w:tc>
        <w:tc>
          <w:tcPr>
            <w:tcW w:w="1800"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0.2</w:t>
            </w:r>
          </w:p>
        </w:tc>
        <w:tc>
          <w:tcPr>
            <w:tcW w:w="1633"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7.0</w:t>
            </w:r>
          </w:p>
        </w:tc>
        <w:tc>
          <w:tcPr>
            <w:tcW w:w="981"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1197"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6.8</w:t>
            </w:r>
          </w:p>
        </w:tc>
        <w:tc>
          <w:tcPr>
            <w:tcW w:w="924" w:type="dxa"/>
            <w:tcBorders>
              <w:top w:val="nil"/>
              <w:bottom w:val="single" w:color="auto" w:sz="4" w:space="0"/>
            </w:tcBorders>
            <w:vAlign w:val="center"/>
          </w:tcPr>
          <w:p>
            <w:pPr>
              <w:spacing w:after="0" w:line="240" w:lineRule="auto"/>
              <w:ind w:firstLine="240" w:firstLineChars="100"/>
              <w:jc w:val="both"/>
              <w:rPr>
                <w:rFonts w:ascii="Times New Roman" w:hAnsi="Times New Roman" w:cs="Times New Roman"/>
                <w:bCs/>
                <w:sz w:val="24"/>
                <w:szCs w:val="24"/>
                <w:lang w:val="en-US"/>
              </w:rPr>
            </w:pPr>
            <w:r>
              <w:rPr>
                <w:rFonts w:ascii="Times New Roman" w:hAnsi="Times New Roman" w:cs="Times New Roman"/>
                <w:bCs/>
                <w:sz w:val="24"/>
                <w:szCs w:val="24"/>
                <w:lang w:val="en-US"/>
              </w:rPr>
              <w:t>10.0</w:t>
            </w:r>
          </w:p>
        </w:tc>
      </w:tr>
    </w:tbl>
    <w:p>
      <w:pPr>
        <w:spacing w:after="0" w:line="240" w:lineRule="auto"/>
        <w:ind w:firstLine="240" w:firstLineChars="100"/>
        <w:jc w:val="center"/>
        <w:rPr>
          <w:rFonts w:ascii="Times New Roman" w:hAnsi="Times New Roman" w:cs="Times New Roman"/>
          <w:b/>
          <w:sz w:val="24"/>
          <w:szCs w:val="24"/>
          <w:lang w:val="en-US"/>
        </w:rPr>
      </w:pPr>
      <w:r>
        <w:rPr>
          <w:rFonts w:ascii="Times New Roman" w:hAnsi="Times New Roman" w:cs="Times New Roman"/>
          <w:b/>
          <w:sz w:val="24"/>
          <w:szCs w:val="24"/>
          <w:lang w:val="en-US"/>
        </w:rPr>
        <w:t>Table 2</w:t>
      </w:r>
      <w:r>
        <w:rPr>
          <w:rFonts w:hint="eastAsia" w:ascii="Times New Roman" w:hAnsi="Times New Roman" w:eastAsia="宋体" w:cs="Times New Roman"/>
          <w:b/>
          <w:sz w:val="24"/>
          <w:szCs w:val="24"/>
          <w:lang w:val="en-US" w:eastAsia="zh-CN"/>
        </w:rPr>
        <w:t>.</w:t>
      </w:r>
      <w:r>
        <w:rPr>
          <w:rFonts w:ascii="Times New Roman" w:hAnsi="Times New Roman" w:cs="Times New Roman"/>
          <w:sz w:val="24"/>
          <w:szCs w:val="24"/>
          <w:lang w:val="en-US"/>
        </w:rPr>
        <w:t>Parameters related to metal analysis measurements by using FAAS.</w:t>
      </w:r>
    </w:p>
    <w:p>
      <w:pPr>
        <w:spacing w:after="120" w:line="240" w:lineRule="auto"/>
        <w:ind w:firstLine="240" w:firstLineChars="100"/>
        <w:jc w:val="both"/>
        <w:rPr>
          <w:rFonts w:ascii="Times New Roman" w:hAnsi="Times New Roman" w:cs="Times New Roman"/>
          <w:sz w:val="24"/>
          <w:szCs w:val="24"/>
          <w:lang w:val="en-US"/>
        </w:rPr>
      </w:pPr>
    </w:p>
    <w:p>
      <w:pPr>
        <w:spacing w:after="24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cs="Times New Roman"/>
          <w:sz w:val="24"/>
          <w:szCs w:val="24"/>
          <w:lang w:val="en-US"/>
        </w:rPr>
        <w:t xml:space="preserve">Qualitative analyses of organochloride pesticides were carried out by GC-MS (Agilent) with HP-5 MS IU capillary column (30 m x 250 µm x 0.25 µm) and 5975C inert MSD mass detector.  At these analyses, electron ionization system with ionization energy of 70 eV was utilized, and He was used as carrier gas. Flow rate and injection volume were adjusted to 1 mL/min and 1 µL, respectively. Column oven temperature was hold 110 °C for 5 min, and it was increased to 320 °C with the rate of 5 °C/min, finally hold at 320 °C for 8 min. For the determination of volatile compounds, analysis time was adjusted to 22 min. The characterizations of organochloride pesticides were achieved by utilizing NIST library. The mixture including 18 different organochloride pesticides was scanned at GC/MS, seen in Figure 3. Also, </w:t>
      </w:r>
      <w:r>
        <w:rPr>
          <w:rFonts w:ascii="Times New Roman" w:hAnsi="Times New Roman" w:eastAsia="Times New Roman" w:cs="Times New Roman"/>
          <w:color w:val="000000"/>
          <w:sz w:val="24"/>
          <w:szCs w:val="24"/>
          <w:lang w:val="en-US" w:eastAsia="tr-TR"/>
        </w:rPr>
        <w:t xml:space="preserve">selected </w:t>
      </w:r>
      <w:r>
        <w:rPr>
          <w:rFonts w:ascii="Times New Roman" w:hAnsi="Times New Roman" w:cs="Times New Roman"/>
          <w:color w:val="000000"/>
          <w:sz w:val="24"/>
          <w:szCs w:val="24"/>
          <w:lang w:val="en-US"/>
        </w:rPr>
        <w:t>organochloride pesticides</w:t>
      </w:r>
      <w:r>
        <w:rPr>
          <w:rFonts w:ascii="Times New Roman" w:hAnsi="Times New Roman" w:eastAsia="Times New Roman" w:cs="Times New Roman"/>
          <w:color w:val="000000"/>
          <w:sz w:val="24"/>
          <w:szCs w:val="24"/>
          <w:lang w:val="en-US" w:eastAsia="tr-TR"/>
        </w:rPr>
        <w:t xml:space="preserve"> in SIM mode and retention times of organochloride pesticides at GC-MS were presented in Table 3. Moreover, correlation coefficients (R</w:t>
      </w:r>
      <w:r>
        <w:rPr>
          <w:rFonts w:ascii="Times New Roman" w:hAnsi="Times New Roman" w:eastAsia="Times New Roman" w:cs="Times New Roman"/>
          <w:color w:val="000000"/>
          <w:sz w:val="24"/>
          <w:szCs w:val="24"/>
          <w:vertAlign w:val="superscript"/>
          <w:lang w:val="en-US" w:eastAsia="tr-TR"/>
        </w:rPr>
        <w:t>2</w:t>
      </w:r>
      <w:r>
        <w:rPr>
          <w:rFonts w:ascii="Times New Roman" w:hAnsi="Times New Roman" w:eastAsia="Times New Roman" w:cs="Times New Roman"/>
          <w:color w:val="000000"/>
          <w:sz w:val="24"/>
          <w:szCs w:val="24"/>
          <w:lang w:val="en-US" w:eastAsia="tr-TR"/>
        </w:rPr>
        <w:t>) of all organochloride pesticide standards were determined to be higher than 0.99 from their calibration curves.</w:t>
      </w:r>
    </w:p>
    <w:p>
      <w:pPr>
        <w:spacing w:after="0" w:line="240" w:lineRule="auto"/>
        <w:ind w:firstLine="240" w:firstLineChars="100"/>
        <w:jc w:val="center"/>
        <w:rPr>
          <w:rFonts w:ascii="Times New Roman" w:hAnsi="Times New Roman" w:cs="Times New Roman"/>
          <w:sz w:val="24"/>
          <w:szCs w:val="24"/>
          <w:lang w:val="en-US"/>
        </w:rPr>
      </w:pPr>
      <w:r>
        <w:rPr>
          <w:rFonts w:ascii="Times New Roman" w:hAnsi="Times New Roman" w:cs="Times New Roman"/>
          <w:sz w:val="24"/>
          <w:szCs w:val="24"/>
          <w:bdr w:val="single" w:color="auto" w:sz="4" w:space="0"/>
          <w:lang w:val="en-US"/>
        </w:rPr>
        <w:drawing>
          <wp:inline distT="0" distB="0" distL="0" distR="0">
            <wp:extent cx="4928235" cy="2743200"/>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28400" cy="2743200"/>
                    </a:xfrm>
                    <a:prstGeom prst="rect">
                      <a:avLst/>
                    </a:prstGeom>
                    <a:noFill/>
                  </pic:spPr>
                </pic:pic>
              </a:graphicData>
            </a:graphic>
          </wp:inline>
        </w:drawing>
      </w:r>
    </w:p>
    <w:p>
      <w:pPr>
        <w:widowControl w:val="0"/>
        <w:spacing w:after="0" w:line="240" w:lineRule="auto"/>
        <w:ind w:firstLine="1681" w:firstLineChars="700"/>
        <w:jc w:val="both"/>
        <w:rPr>
          <w:rFonts w:ascii="Times New Roman" w:hAnsi="Times New Roman" w:cs="Times New Roman"/>
          <w:sz w:val="24"/>
          <w:szCs w:val="24"/>
          <w:lang w:val="en-US"/>
        </w:rPr>
      </w:pPr>
      <w:r>
        <w:rPr>
          <w:rFonts w:ascii="Times New Roman" w:hAnsi="Times New Roman" w:cs="Times New Roman"/>
          <w:b/>
          <w:sz w:val="24"/>
          <w:szCs w:val="24"/>
          <w:lang w:val="en-US"/>
        </w:rPr>
        <w:t>Figure 3</w:t>
      </w:r>
      <w:r>
        <w:rPr>
          <w:rFonts w:ascii="Times New Roman" w:hAnsi="Times New Roman" w:cs="Times New Roman"/>
          <w:sz w:val="24"/>
          <w:szCs w:val="24"/>
          <w:lang w:val="en-US"/>
        </w:rPr>
        <w:t xml:space="preserve"> GC-MS chromatogram of organochlorine pesticides.</w:t>
      </w:r>
    </w:p>
    <w:p>
      <w:pPr>
        <w:spacing w:after="120" w:line="240" w:lineRule="auto"/>
        <w:ind w:firstLine="240" w:firstLineChars="100"/>
        <w:jc w:val="both"/>
        <w:rPr>
          <w:rFonts w:ascii="Times New Roman" w:hAnsi="Times New Roman" w:cs="Times New Roman"/>
          <w:sz w:val="24"/>
          <w:szCs w:val="24"/>
          <w:lang w:val="en-US"/>
        </w:rPr>
      </w:pPr>
    </w:p>
    <w:p>
      <w:pPr>
        <w:spacing w:after="0" w:line="240" w:lineRule="auto"/>
        <w:ind w:firstLine="0" w:firstLineChars="0"/>
        <w:contextualSpacing/>
        <w:jc w:val="both"/>
        <w:rPr>
          <w:rFonts w:ascii="Times New Roman" w:hAnsi="Times New Roman" w:eastAsia="Times New Roman" w:cs="Times New Roman"/>
          <w:b/>
          <w:color w:val="000000"/>
          <w:sz w:val="24"/>
          <w:szCs w:val="24"/>
          <w:lang w:val="en-US" w:eastAsia="tr-TR"/>
        </w:rPr>
      </w:pPr>
    </w:p>
    <w:p>
      <w:pPr>
        <w:spacing w:after="0" w:line="240" w:lineRule="auto"/>
        <w:ind w:firstLine="240" w:firstLineChars="100"/>
        <w:contextualSpacing/>
        <w:jc w:val="both"/>
        <w:rPr>
          <w:rFonts w:ascii="Times New Roman" w:hAnsi="Times New Roman" w:eastAsia="Times New Roman" w:cs="Times New Roman"/>
          <w:b/>
          <w:color w:val="000000"/>
          <w:sz w:val="24"/>
          <w:szCs w:val="24"/>
          <w:lang w:val="en-US" w:eastAsia="tr-TR"/>
        </w:rPr>
      </w:pPr>
    </w:p>
    <w:tbl>
      <w:tblPr>
        <w:tblStyle w:val="6"/>
        <w:tblW w:w="9047" w:type="dxa"/>
        <w:tblInd w:w="108" w:type="dxa"/>
        <w:tblLayout w:type="fixed"/>
        <w:tblCellMar>
          <w:top w:w="0" w:type="dxa"/>
          <w:left w:w="108" w:type="dxa"/>
          <w:bottom w:w="0" w:type="dxa"/>
          <w:right w:w="108" w:type="dxa"/>
        </w:tblCellMar>
      </w:tblPr>
      <w:tblGrid>
        <w:gridCol w:w="2410"/>
        <w:gridCol w:w="1318"/>
        <w:gridCol w:w="1350"/>
        <w:gridCol w:w="2048"/>
        <w:gridCol w:w="1921"/>
      </w:tblGrid>
      <w:tr>
        <w:tblPrEx>
          <w:tblLayout w:type="fixed"/>
          <w:tblCellMar>
            <w:top w:w="0" w:type="dxa"/>
            <w:left w:w="108" w:type="dxa"/>
            <w:bottom w:w="0" w:type="dxa"/>
            <w:right w:w="108" w:type="dxa"/>
          </w:tblCellMar>
        </w:tblPrEx>
        <w:trPr>
          <w:trHeight w:val="338" w:hRule="atLeast"/>
        </w:trPr>
        <w:tc>
          <w:tcPr>
            <w:tcW w:w="2410" w:type="dxa"/>
            <w:tcBorders>
              <w:top w:val="single" w:color="auto" w:sz="4" w:space="0"/>
              <w:bottom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cs="Times New Roman"/>
                <w:b/>
                <w:bCs/>
                <w:color w:val="000000"/>
                <w:sz w:val="24"/>
                <w:szCs w:val="24"/>
                <w:lang w:val="en-US"/>
              </w:rPr>
              <w:t>organochloride pesticides</w:t>
            </w:r>
          </w:p>
        </w:tc>
        <w:tc>
          <w:tcPr>
            <w:tcW w:w="1318" w:type="dxa"/>
            <w:tcBorders>
              <w:top w:val="single" w:color="auto" w:sz="4" w:space="0"/>
              <w:bottom w:val="single" w:color="auto" w:sz="6" w:space="0"/>
            </w:tcBorders>
          </w:tcPr>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sz w:val="24"/>
                <w:szCs w:val="24"/>
                <w:lang w:val="en-US" w:eastAsia="tr-TR"/>
              </w:rPr>
              <w:t>Retention time (min)</w:t>
            </w:r>
          </w:p>
        </w:tc>
        <w:tc>
          <w:tcPr>
            <w:tcW w:w="1350" w:type="dxa"/>
            <w:tcBorders>
              <w:top w:val="single" w:color="auto" w:sz="4" w:space="0"/>
              <w:bottom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color w:val="000000"/>
                <w:sz w:val="24"/>
                <w:szCs w:val="24"/>
                <w:lang w:val="en-US" w:eastAsia="tr-TR"/>
              </w:rPr>
              <w:t>Intense peak</w:t>
            </w:r>
          </w:p>
        </w:tc>
        <w:tc>
          <w:tcPr>
            <w:tcW w:w="2048" w:type="dxa"/>
            <w:tcBorders>
              <w:top w:val="single" w:color="auto" w:sz="4" w:space="0"/>
              <w:bottom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color w:val="000000"/>
                <w:sz w:val="24"/>
                <w:szCs w:val="24"/>
                <w:lang w:val="en-US" w:eastAsia="tr-TR"/>
              </w:rPr>
              <w:t xml:space="preserve">Selected ion </w:t>
            </w:r>
          </w:p>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color w:val="000000"/>
                <w:sz w:val="24"/>
                <w:szCs w:val="24"/>
                <w:lang w:val="en-US" w:eastAsia="tr-TR"/>
              </w:rPr>
              <w:t>peak 1</w:t>
            </w:r>
          </w:p>
        </w:tc>
        <w:tc>
          <w:tcPr>
            <w:tcW w:w="1921" w:type="dxa"/>
            <w:tcBorders>
              <w:top w:val="single" w:color="auto" w:sz="4" w:space="0"/>
              <w:bottom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color w:val="000000"/>
                <w:sz w:val="24"/>
                <w:szCs w:val="24"/>
                <w:lang w:val="en-US" w:eastAsia="tr-TR"/>
              </w:rPr>
              <w:t xml:space="preserve">Selected ion </w:t>
            </w:r>
          </w:p>
          <w:p>
            <w:pPr>
              <w:spacing w:after="0" w:line="240" w:lineRule="auto"/>
              <w:ind w:firstLine="240" w:firstLineChars="100"/>
              <w:contextualSpacing/>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color w:val="000000"/>
                <w:sz w:val="24"/>
                <w:szCs w:val="24"/>
                <w:lang w:val="en-US" w:eastAsia="tr-TR"/>
              </w:rPr>
              <w:t>peak 2</w:t>
            </w:r>
          </w:p>
        </w:tc>
      </w:tr>
      <w:tr>
        <w:tblPrEx>
          <w:tblLayout w:type="fixed"/>
          <w:tblCellMar>
            <w:top w:w="0" w:type="dxa"/>
            <w:left w:w="108" w:type="dxa"/>
            <w:bottom w:w="0" w:type="dxa"/>
            <w:right w:w="108" w:type="dxa"/>
          </w:tblCellMar>
        </w:tblPrEx>
        <w:trPr>
          <w:trHeight w:val="169" w:hRule="atLeast"/>
        </w:trPr>
        <w:tc>
          <w:tcPr>
            <w:tcW w:w="2410" w:type="dxa"/>
            <w:tcBorders>
              <w:top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α-HCH</w:t>
            </w:r>
          </w:p>
        </w:tc>
        <w:tc>
          <w:tcPr>
            <w:tcW w:w="1318" w:type="dxa"/>
            <w:tcBorders>
              <w:top w:val="single" w:color="auto" w:sz="6" w:space="0"/>
            </w:tcBorders>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7.816</w:t>
            </w:r>
          </w:p>
        </w:tc>
        <w:tc>
          <w:tcPr>
            <w:tcW w:w="1350" w:type="dxa"/>
            <w:tcBorders>
              <w:top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181</w:t>
            </w:r>
          </w:p>
        </w:tc>
        <w:tc>
          <w:tcPr>
            <w:tcW w:w="2048" w:type="dxa"/>
            <w:tcBorders>
              <w:top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219</w:t>
            </w:r>
          </w:p>
        </w:tc>
        <w:tc>
          <w:tcPr>
            <w:tcW w:w="1921" w:type="dxa"/>
            <w:tcBorders>
              <w:top w:val="single" w:color="auto" w:sz="6"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183</w:t>
            </w:r>
          </w:p>
        </w:tc>
      </w:tr>
      <w:tr>
        <w:tblPrEx>
          <w:tblLayout w:type="fixed"/>
          <w:tblCellMar>
            <w:top w:w="0" w:type="dxa"/>
            <w:left w:w="108" w:type="dxa"/>
            <w:bottom w:w="0" w:type="dxa"/>
            <w:right w:w="108" w:type="dxa"/>
          </w:tblCellMar>
        </w:tblPrEx>
        <w:trPr>
          <w:trHeight w:val="15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β-HCH</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8.501</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219</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181</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183</w:t>
            </w:r>
          </w:p>
        </w:tc>
      </w:tr>
      <w:tr>
        <w:tblPrEx>
          <w:tblLayout w:type="fixed"/>
          <w:tblCellMar>
            <w:top w:w="0" w:type="dxa"/>
            <w:left w:w="108" w:type="dxa"/>
            <w:bottom w:w="0" w:type="dxa"/>
            <w:right w:w="108" w:type="dxa"/>
          </w:tblCellMar>
        </w:tblPrEx>
        <w:trPr>
          <w:trHeight w:val="16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γ-HCH</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8.666</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181</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183</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219</w:t>
            </w:r>
          </w:p>
        </w:tc>
      </w:tr>
      <w:tr>
        <w:tblPrEx>
          <w:tblLayout w:type="fixed"/>
          <w:tblCellMar>
            <w:top w:w="0" w:type="dxa"/>
            <w:left w:w="108" w:type="dxa"/>
            <w:bottom w:w="0" w:type="dxa"/>
            <w:right w:w="108" w:type="dxa"/>
          </w:tblCellMar>
        </w:tblPrEx>
        <w:trPr>
          <w:trHeight w:val="16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δ-HCH</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9.282</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183</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217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181</w:t>
            </w:r>
          </w:p>
        </w:tc>
      </w:tr>
      <w:tr>
        <w:tblPrEx>
          <w:tblLayout w:type="fixed"/>
          <w:tblCellMar>
            <w:top w:w="0" w:type="dxa"/>
            <w:left w:w="108" w:type="dxa"/>
            <w:bottom w:w="0" w:type="dxa"/>
            <w:right w:w="108" w:type="dxa"/>
          </w:tblCellMar>
        </w:tblPrEx>
        <w:trPr>
          <w:trHeight w:val="15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Heptachlor</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10.578</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272</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274</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270</w:t>
            </w:r>
          </w:p>
        </w:tc>
      </w:tr>
      <w:tr>
        <w:tblPrEx>
          <w:tblLayout w:type="fixed"/>
          <w:tblCellMar>
            <w:top w:w="0" w:type="dxa"/>
            <w:left w:w="108" w:type="dxa"/>
            <w:bottom w:w="0" w:type="dxa"/>
            <w:right w:w="108" w:type="dxa"/>
          </w:tblCellMar>
        </w:tblPrEx>
        <w:trPr>
          <w:trHeight w:val="245"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Aldrin (HHDN)</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12.674</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263</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265</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261</w:t>
            </w:r>
          </w:p>
        </w:tc>
      </w:tr>
      <w:tr>
        <w:tblPrEx>
          <w:tblLayout w:type="fixed"/>
          <w:tblCellMar>
            <w:top w:w="0" w:type="dxa"/>
            <w:left w:w="108" w:type="dxa"/>
            <w:bottom w:w="0" w:type="dxa"/>
            <w:right w:w="108" w:type="dxa"/>
          </w:tblCellMar>
        </w:tblPrEx>
        <w:trPr>
          <w:trHeight w:val="263"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Heptachlor-endo-epoxide</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11.501</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217</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185</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253</w:t>
            </w:r>
          </w:p>
        </w:tc>
      </w:tr>
      <w:tr>
        <w:tblPrEx>
          <w:tblLayout w:type="fixed"/>
          <w:tblCellMar>
            <w:top w:w="0" w:type="dxa"/>
            <w:left w:w="108" w:type="dxa"/>
            <w:bottom w:w="0" w:type="dxa"/>
            <w:right w:w="108" w:type="dxa"/>
          </w:tblCellMar>
        </w:tblPrEx>
        <w:trPr>
          <w:trHeight w:val="224"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Alpha-Endosulfan</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13.516</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237</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195</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239</w:t>
            </w:r>
          </w:p>
        </w:tc>
      </w:tr>
      <w:tr>
        <w:tblPrEx>
          <w:tblLayout w:type="fixed"/>
          <w:tblCellMar>
            <w:top w:w="0" w:type="dxa"/>
            <w:left w:w="108" w:type="dxa"/>
            <w:bottom w:w="0" w:type="dxa"/>
            <w:right w:w="108" w:type="dxa"/>
          </w:tblCellMar>
        </w:tblPrEx>
        <w:trPr>
          <w:trHeight w:val="18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4,4'-DDE</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color w:val="000000"/>
                <w:sz w:val="24"/>
                <w:szCs w:val="24"/>
                <w:lang w:val="en-US" w:eastAsia="tr-TR"/>
              </w:rPr>
              <w:t>14.146</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246</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318</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316</w:t>
            </w:r>
          </w:p>
        </w:tc>
      </w:tr>
      <w:tr>
        <w:tblPrEx>
          <w:tblLayout w:type="fixed"/>
          <w:tblCellMar>
            <w:top w:w="0" w:type="dxa"/>
            <w:left w:w="108" w:type="dxa"/>
            <w:bottom w:w="0" w:type="dxa"/>
            <w:right w:w="108" w:type="dxa"/>
          </w:tblCellMar>
        </w:tblPrEx>
        <w:trPr>
          <w:trHeight w:val="15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Dieldrin</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14.198</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263</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279</w:t>
            </w:r>
          </w:p>
        </w:tc>
      </w:tr>
      <w:tr>
        <w:tblPrEx>
          <w:tblLayout w:type="fixed"/>
          <w:tblCellMar>
            <w:top w:w="0" w:type="dxa"/>
            <w:left w:w="108" w:type="dxa"/>
            <w:bottom w:w="0" w:type="dxa"/>
            <w:right w:w="108" w:type="dxa"/>
          </w:tblCellMar>
        </w:tblPrEx>
        <w:trPr>
          <w:trHeight w:val="16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Endrin</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14.765</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263</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265</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261</w:t>
            </w:r>
          </w:p>
        </w:tc>
      </w:tr>
      <w:tr>
        <w:tblPrEx>
          <w:tblLayout w:type="fixed"/>
          <w:tblCellMar>
            <w:top w:w="0" w:type="dxa"/>
            <w:left w:w="108" w:type="dxa"/>
            <w:bottom w:w="0" w:type="dxa"/>
            <w:right w:w="108" w:type="dxa"/>
          </w:tblCellMar>
        </w:tblPrEx>
        <w:trPr>
          <w:trHeight w:val="177"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beta-Endosulfan</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15.006</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195</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165</w:t>
            </w:r>
          </w:p>
        </w:tc>
      </w:tr>
      <w:tr>
        <w:tblPrEx>
          <w:tblLayout w:type="fixed"/>
          <w:tblCellMar>
            <w:top w:w="0" w:type="dxa"/>
            <w:left w:w="108" w:type="dxa"/>
            <w:bottom w:w="0" w:type="dxa"/>
            <w:right w:w="108" w:type="dxa"/>
          </w:tblCellMar>
        </w:tblPrEx>
        <w:trPr>
          <w:trHeight w:val="17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4,4'-DDD</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15.231</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235</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165</w:t>
            </w:r>
          </w:p>
        </w:tc>
      </w:tr>
      <w:tr>
        <w:tblPrEx>
          <w:tblLayout w:type="fixed"/>
          <w:tblCellMar>
            <w:top w:w="0" w:type="dxa"/>
            <w:left w:w="108" w:type="dxa"/>
            <w:bottom w:w="0" w:type="dxa"/>
            <w:right w:w="108" w:type="dxa"/>
          </w:tblCellMar>
        </w:tblPrEx>
        <w:trPr>
          <w:trHeight w:val="274"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Endrin-aldheyde</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15.502</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345</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67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cs="Times New Roman"/>
                <w:bCs/>
                <w:sz w:val="24"/>
                <w:szCs w:val="24"/>
                <w:lang w:val="en-US"/>
              </w:rPr>
              <w:t>−</w:t>
            </w:r>
          </w:p>
        </w:tc>
      </w:tr>
      <w:tr>
        <w:tblPrEx>
          <w:tblLayout w:type="fixed"/>
          <w:tblCellMar>
            <w:top w:w="0" w:type="dxa"/>
            <w:left w:w="108" w:type="dxa"/>
            <w:bottom w:w="0" w:type="dxa"/>
            <w:right w:w="108" w:type="dxa"/>
          </w:tblCellMar>
        </w:tblPrEx>
        <w:trPr>
          <w:trHeight w:val="291"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Endosulfan-sulfate</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16.112</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272</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274</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229</w:t>
            </w:r>
          </w:p>
        </w:tc>
      </w:tr>
      <w:tr>
        <w:tblPrEx>
          <w:tblLayout w:type="fixed"/>
          <w:tblCellMar>
            <w:top w:w="0" w:type="dxa"/>
            <w:left w:w="108" w:type="dxa"/>
            <w:bottom w:w="0" w:type="dxa"/>
            <w:right w:w="108" w:type="dxa"/>
          </w:tblCellMar>
        </w:tblPrEx>
        <w:trPr>
          <w:trHeight w:val="18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4,4'-DDT</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16.192</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235</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165</w:t>
            </w:r>
          </w:p>
        </w:tc>
      </w:tr>
      <w:tr>
        <w:tblPrEx>
          <w:tblLayout w:type="fixed"/>
          <w:tblCellMar>
            <w:top w:w="0" w:type="dxa"/>
            <w:left w:w="108" w:type="dxa"/>
            <w:bottom w:w="0" w:type="dxa"/>
            <w:right w:w="108" w:type="dxa"/>
          </w:tblCellMar>
        </w:tblPrEx>
        <w:trPr>
          <w:trHeight w:val="159" w:hRule="atLeast"/>
        </w:trPr>
        <w:tc>
          <w:tcPr>
            <w:tcW w:w="241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Endrin-ketone</w:t>
            </w:r>
          </w:p>
        </w:tc>
        <w:tc>
          <w:tcPr>
            <w:tcW w:w="1318" w:type="dxa"/>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17.302</w:t>
            </w:r>
          </w:p>
        </w:tc>
        <w:tc>
          <w:tcPr>
            <w:tcW w:w="1350"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67</w:t>
            </w:r>
          </w:p>
        </w:tc>
        <w:tc>
          <w:tcPr>
            <w:tcW w:w="2048"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317</w:t>
            </w:r>
          </w:p>
        </w:tc>
        <w:tc>
          <w:tcPr>
            <w:tcW w:w="1921" w:type="dxa"/>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cs="Times New Roman"/>
                <w:bCs/>
                <w:sz w:val="24"/>
                <w:szCs w:val="24"/>
                <w:lang w:val="en-US"/>
              </w:rPr>
              <w:t>−</w:t>
            </w:r>
          </w:p>
        </w:tc>
      </w:tr>
      <w:tr>
        <w:tblPrEx>
          <w:tblLayout w:type="fixed"/>
          <w:tblCellMar>
            <w:top w:w="0" w:type="dxa"/>
            <w:left w:w="108" w:type="dxa"/>
            <w:bottom w:w="0" w:type="dxa"/>
            <w:right w:w="108" w:type="dxa"/>
          </w:tblCellMar>
        </w:tblPrEx>
        <w:trPr>
          <w:trHeight w:val="179" w:hRule="atLeast"/>
        </w:trPr>
        <w:tc>
          <w:tcPr>
            <w:tcW w:w="2410" w:type="dxa"/>
            <w:tcBorders>
              <w:bottom w:val="single" w:color="auto" w:sz="4"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Methoxychlor</w:t>
            </w:r>
          </w:p>
        </w:tc>
        <w:tc>
          <w:tcPr>
            <w:tcW w:w="1318" w:type="dxa"/>
            <w:tcBorders>
              <w:bottom w:val="single" w:color="auto" w:sz="4" w:space="0"/>
            </w:tcBorders>
            <w:vAlign w:val="center"/>
          </w:tcPr>
          <w:p>
            <w:pPr>
              <w:widowControl w:val="0"/>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17.666</w:t>
            </w:r>
          </w:p>
        </w:tc>
        <w:tc>
          <w:tcPr>
            <w:tcW w:w="1350" w:type="dxa"/>
            <w:tcBorders>
              <w:bottom w:val="single" w:color="auto" w:sz="4"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227</w:t>
            </w:r>
          </w:p>
        </w:tc>
        <w:tc>
          <w:tcPr>
            <w:tcW w:w="2048" w:type="dxa"/>
            <w:tcBorders>
              <w:bottom w:val="single" w:color="auto" w:sz="4"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228</w:t>
            </w:r>
          </w:p>
        </w:tc>
        <w:tc>
          <w:tcPr>
            <w:tcW w:w="1921" w:type="dxa"/>
            <w:tcBorders>
              <w:bottom w:val="single" w:color="auto" w:sz="4" w:space="0"/>
            </w:tcBorders>
            <w:shd w:val="clear" w:color="auto" w:fill="auto"/>
            <w:vAlign w:val="center"/>
          </w:tcPr>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cs="Times New Roman"/>
                <w:bCs/>
                <w:sz w:val="24"/>
                <w:szCs w:val="24"/>
                <w:lang w:val="en-US"/>
              </w:rPr>
              <w:t>−</w:t>
            </w:r>
          </w:p>
        </w:tc>
      </w:tr>
    </w:tbl>
    <w:p>
      <w:pPr>
        <w:spacing w:after="0" w:line="240" w:lineRule="auto"/>
        <w:ind w:firstLine="240" w:firstLineChars="100"/>
        <w:contextualSpacing/>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b/>
          <w:color w:val="000000"/>
          <w:sz w:val="24"/>
          <w:szCs w:val="24"/>
          <w:lang w:val="en-US" w:eastAsia="tr-TR"/>
        </w:rPr>
        <w:t>Table 3</w:t>
      </w:r>
      <w:r>
        <w:rPr>
          <w:rFonts w:hint="eastAsia" w:ascii="Times New Roman" w:hAnsi="Times New Roman" w:eastAsia="宋体" w:cs="Times New Roman"/>
          <w:b/>
          <w:color w:val="000000"/>
          <w:sz w:val="24"/>
          <w:szCs w:val="24"/>
          <w:lang w:val="en-US" w:eastAsia="zh-CN"/>
        </w:rPr>
        <w:t xml:space="preserve"> </w:t>
      </w:r>
      <w:r>
        <w:rPr>
          <w:rFonts w:ascii="Times New Roman" w:hAnsi="Times New Roman" w:eastAsia="Times New Roman" w:cs="Times New Roman"/>
          <w:color w:val="000000"/>
          <w:sz w:val="24"/>
          <w:szCs w:val="24"/>
          <w:lang w:val="en-US" w:eastAsia="tr-TR"/>
        </w:rPr>
        <w:t xml:space="preserve">Selected </w:t>
      </w:r>
      <w:r>
        <w:rPr>
          <w:rFonts w:ascii="Times New Roman" w:hAnsi="Times New Roman" w:cs="Times New Roman"/>
          <w:color w:val="000000"/>
          <w:sz w:val="24"/>
          <w:szCs w:val="24"/>
          <w:lang w:val="en-US"/>
        </w:rPr>
        <w:t>organochloride pesticides</w:t>
      </w:r>
      <w:r>
        <w:rPr>
          <w:rFonts w:ascii="Times New Roman" w:hAnsi="Times New Roman" w:eastAsia="Times New Roman" w:cs="Times New Roman"/>
          <w:color w:val="000000"/>
          <w:sz w:val="24"/>
          <w:szCs w:val="24"/>
          <w:lang w:val="en-US" w:eastAsia="tr-TR"/>
        </w:rPr>
        <w:t xml:space="preserve"> in SIM mode and retention times of organochloride pesticides at GC-MS.</w:t>
      </w:r>
    </w:p>
    <w:p>
      <w:pPr>
        <w:spacing w:after="120" w:line="240" w:lineRule="auto"/>
        <w:ind w:firstLine="240" w:firstLineChars="100"/>
        <w:jc w:val="both"/>
        <w:rPr>
          <w:rFonts w:ascii="Times New Roman" w:hAnsi="Times New Roman" w:cs="Times New Roman"/>
          <w:sz w:val="24"/>
          <w:szCs w:val="24"/>
          <w:lang w:val="en-US"/>
        </w:rPr>
      </w:pP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sz w:val="24"/>
          <w:szCs w:val="24"/>
          <w:lang w:val="en-US"/>
        </w:rPr>
        <w:t>2.5. Solubilization of Linden Samples by Microwave for FAAS</w:t>
      </w: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0.5 g linden samples were solubilized in a microwave oven by using the mixture of nitric acid and hydrogen peroxide (1:2, </w:t>
      </w:r>
      <w:r>
        <w:rPr>
          <w:rFonts w:ascii="Times New Roman" w:hAnsi="Times New Roman" w:cs="Times New Roman"/>
          <w:i/>
          <w:sz w:val="24"/>
          <w:szCs w:val="24"/>
          <w:lang w:val="en-US"/>
        </w:rPr>
        <w:t>v/v</w:t>
      </w:r>
      <w:r>
        <w:rPr>
          <w:rFonts w:ascii="Times New Roman" w:hAnsi="Times New Roman" w:cs="Times New Roman"/>
          <w:sz w:val="24"/>
          <w:szCs w:val="24"/>
          <w:lang w:val="en-US"/>
        </w:rPr>
        <w:t>). The analyses of Mn, Mo, Cu, Fe, Zn, Pb, Ni, Cd, and Cr in the linden samples made ready for analyses were achieved with six parallel samples at FAAS. The samples for Fe, Zn, and Mn were diluted ten times, and calculations were completed by taking into account dilutions.</w:t>
      </w: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sz w:val="24"/>
          <w:szCs w:val="24"/>
          <w:lang w:val="en-US"/>
        </w:rPr>
        <w:t>2.6. Extraction method for GC-MS</w:t>
      </w: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Organochloride pesticides were analyzed by using QuEChERS method. After linden samples were homogenized, 10 g samples were taken into falcon centrifuge tubes with 50 mL volumes. Then, the samples were extracted by adding the mixtures of 5 mL ultra-distilled water and 40 mL hexane-dichloromethane (1:1, </w:t>
      </w:r>
      <w:r>
        <w:rPr>
          <w:rFonts w:ascii="Times New Roman" w:hAnsi="Times New Roman" w:cs="Times New Roman"/>
          <w:i/>
          <w:sz w:val="24"/>
          <w:szCs w:val="24"/>
          <w:lang w:val="en-US"/>
        </w:rPr>
        <w:t>v/v</w:t>
      </w:r>
      <w:r>
        <w:rPr>
          <w:rFonts w:ascii="Times New Roman" w:hAnsi="Times New Roman" w:cs="Times New Roman"/>
          <w:sz w:val="24"/>
          <w:szCs w:val="24"/>
          <w:lang w:val="en-US"/>
        </w:rPr>
        <w:t>) in these falcon centrifuge tubes on Vortex mixer. After that, the samples were centrifuged at 7000 rpm and 5 °C for 5 min. After the separations of solid-liquid phase and organic phase, QuEChERS method was applied. First, organic phases were vortexed by adding AOAC 2007.01 Extraction kit (1.5 g sodium acetate and 6 g MgSO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in order to remove water from organic phase), and they were centrifuged at 7000 rpm and 5 °C for 5 min. Supernatants (QuEChERS dSPE) were passed through the cleaning column including 400 mg PSA and 1200 mg MgSO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and they were taken into centrifuge tubes by using vacuum manifold system. Subsequently, they were dried at the temperatures below 35 °C under nitrogen atmosphere via evaporation system. Afterwards, dried samples were dissolved in 1 mL hexane, and they were taken into vials of 2 mL after passed from filters with 0.45 µl. Lastly, the prepared samples were analyzed with GC-MS, and their calculations were carried out by injecting into GC-MS five times for each sample.</w:t>
      </w:r>
    </w:p>
    <w:p>
      <w:pPr>
        <w:spacing w:after="120" w:line="240" w:lineRule="auto"/>
        <w:ind w:firstLine="280" w:firstLineChars="100"/>
        <w:jc w:val="both"/>
        <w:rPr>
          <w:rFonts w:ascii="Times New Roman" w:hAnsi="Times New Roman" w:cs="Times New Roman"/>
          <w:b/>
          <w:sz w:val="28"/>
          <w:szCs w:val="28"/>
          <w:lang w:val="en-US"/>
        </w:rPr>
      </w:pPr>
      <w:r>
        <w:rPr>
          <w:rFonts w:ascii="Times New Roman" w:hAnsi="Times New Roman" w:cs="Times New Roman"/>
          <w:b/>
          <w:sz w:val="28"/>
          <w:szCs w:val="28"/>
          <w:lang w:val="en-US"/>
        </w:rPr>
        <w:t>3. Results and Discussion</w:t>
      </w: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sz w:val="24"/>
          <w:szCs w:val="24"/>
          <w:lang w:val="en-US"/>
        </w:rPr>
        <w:t>3.1. Metal analyses of SRMs and Linden Samples</w:t>
      </w: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solubilization method via microwave is the one of the widespread used methods for metal analyses in solid samples by atomic absorption spectroscopy. To test the accuracy of solubilization methods, various standards were used, and their analysis results are given in Table 4. By applying linden and spinach samples to SRM samples, optimized solubilization method was carried out with FAAS for the analyses of Mn, Cu, Zn, Fe, Mo, Cd, Ni, Pb, and Cr. The metal contents </w:t>
      </w:r>
      <w:r>
        <w:rPr>
          <w:rFonts w:ascii="Times New Roman" w:hAnsi="Times New Roman" w:eastAsia="Times New Roman" w:cs="Times New Roman"/>
          <w:color w:val="000000"/>
          <w:sz w:val="24"/>
          <w:szCs w:val="24"/>
          <w:lang w:val="en-US" w:eastAsia="tr-TR"/>
        </w:rPr>
        <w:t xml:space="preserve">in linden samples solubilized by microwave are presented in Table 5. </w:t>
      </w:r>
    </w:p>
    <w:tbl>
      <w:tblPr>
        <w:tblStyle w:val="6"/>
        <w:tblW w:w="9026" w:type="dxa"/>
        <w:jc w:val="center"/>
        <w:tblInd w:w="260" w:type="dxa"/>
        <w:tblLayout w:type="fixed"/>
        <w:tblCellMar>
          <w:top w:w="0" w:type="dxa"/>
          <w:left w:w="108" w:type="dxa"/>
          <w:bottom w:w="0" w:type="dxa"/>
          <w:right w:w="108" w:type="dxa"/>
        </w:tblCellMar>
      </w:tblPr>
      <w:tblGrid>
        <w:gridCol w:w="1456"/>
        <w:gridCol w:w="2675"/>
        <w:gridCol w:w="2702"/>
        <w:gridCol w:w="2193"/>
      </w:tblGrid>
      <w:tr>
        <w:tblPrEx>
          <w:tblLayout w:type="fixed"/>
          <w:tblCellMar>
            <w:top w:w="0" w:type="dxa"/>
            <w:left w:w="108" w:type="dxa"/>
            <w:bottom w:w="0" w:type="dxa"/>
            <w:right w:w="108" w:type="dxa"/>
          </w:tblCellMar>
        </w:tblPrEx>
        <w:trPr>
          <w:trHeight w:val="277" w:hRule="atLeast"/>
          <w:jc w:val="center"/>
        </w:trPr>
        <w:tc>
          <w:tcPr>
            <w:tcW w:w="1456" w:type="dxa"/>
            <w:tcBorders>
              <w:top w:val="single" w:color="auto" w:sz="4" w:space="0"/>
              <w:bottom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Element</w:t>
            </w:r>
          </w:p>
        </w:tc>
        <w:tc>
          <w:tcPr>
            <w:tcW w:w="2675" w:type="dxa"/>
            <w:tcBorders>
              <w:top w:val="single" w:color="auto" w:sz="4" w:space="0"/>
              <w:bottom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 xml:space="preserve">Certificate value </w:t>
            </w:r>
          </w:p>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(mg/kg)</w:t>
            </w:r>
          </w:p>
        </w:tc>
        <w:tc>
          <w:tcPr>
            <w:tcW w:w="2702" w:type="dxa"/>
            <w:tcBorders>
              <w:top w:val="single" w:color="auto" w:sz="4" w:space="0"/>
              <w:bottom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Measured value</w:t>
            </w:r>
          </w:p>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(mg/kg)</w:t>
            </w:r>
          </w:p>
        </w:tc>
        <w:tc>
          <w:tcPr>
            <w:tcW w:w="2193" w:type="dxa"/>
            <w:tcBorders>
              <w:top w:val="single" w:color="auto" w:sz="4" w:space="0"/>
              <w:bottom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 xml:space="preserve">Recovey percentage </w:t>
            </w:r>
          </w:p>
          <w:p>
            <w:pPr>
              <w:spacing w:after="0" w:line="240" w:lineRule="auto"/>
              <w:ind w:firstLine="240" w:firstLineChars="100"/>
              <w:contextualSpacing/>
              <w:jc w:val="both"/>
              <w:rPr>
                <w:rFonts w:ascii="Times New Roman" w:hAnsi="Times New Roman" w:eastAsia="Times New Roman" w:cs="Times New Roman"/>
                <w:b/>
                <w:bCs/>
                <w:sz w:val="24"/>
                <w:szCs w:val="24"/>
                <w:lang w:val="en-US" w:eastAsia="tr-TR"/>
              </w:rPr>
            </w:pPr>
            <w:r>
              <w:rPr>
                <w:rFonts w:ascii="Times New Roman" w:hAnsi="Times New Roman" w:eastAsia="Times New Roman" w:cs="Times New Roman"/>
                <w:b/>
                <w:bCs/>
                <w:sz w:val="24"/>
                <w:szCs w:val="24"/>
                <w:lang w:val="en-US" w:eastAsia="tr-TR"/>
              </w:rPr>
              <w:t>(%)</w:t>
            </w:r>
          </w:p>
        </w:tc>
      </w:tr>
      <w:tr>
        <w:tblPrEx>
          <w:tblLayout w:type="fixed"/>
          <w:tblCellMar>
            <w:top w:w="0" w:type="dxa"/>
            <w:left w:w="108" w:type="dxa"/>
            <w:bottom w:w="0" w:type="dxa"/>
            <w:right w:w="108" w:type="dxa"/>
          </w:tblCellMar>
        </w:tblPrEx>
        <w:trPr>
          <w:trHeight w:val="269" w:hRule="atLeast"/>
          <w:jc w:val="center"/>
        </w:trPr>
        <w:tc>
          <w:tcPr>
            <w:tcW w:w="1456"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Mn</w:t>
            </w:r>
          </w:p>
        </w:tc>
        <w:tc>
          <w:tcPr>
            <w:tcW w:w="2675" w:type="dxa"/>
            <w:tcBorders>
              <w:top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76.00</w:t>
            </w:r>
          </w:p>
        </w:tc>
        <w:tc>
          <w:tcPr>
            <w:tcW w:w="2702" w:type="dxa"/>
            <w:tcBorders>
              <w:top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72.5 ± 1.0</w:t>
            </w:r>
          </w:p>
        </w:tc>
        <w:tc>
          <w:tcPr>
            <w:tcW w:w="2193" w:type="dxa"/>
            <w:tcBorders>
              <w:top w:val="single" w:color="auto" w:sz="6"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96</w:t>
            </w:r>
          </w:p>
        </w:tc>
      </w:tr>
      <w:tr>
        <w:tblPrEx>
          <w:tblLayout w:type="fixed"/>
          <w:tblCellMar>
            <w:top w:w="0" w:type="dxa"/>
            <w:left w:w="108" w:type="dxa"/>
            <w:bottom w:w="0" w:type="dxa"/>
            <w:right w:w="108" w:type="dxa"/>
          </w:tblCellMar>
        </w:tblPrEx>
        <w:trPr>
          <w:trHeight w:val="269" w:hRule="atLeast"/>
          <w:jc w:val="center"/>
        </w:trPr>
        <w:tc>
          <w:tcPr>
            <w:tcW w:w="145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Cu</w:t>
            </w:r>
          </w:p>
        </w:tc>
        <w:tc>
          <w:tcPr>
            <w:tcW w:w="2675"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12.20</w:t>
            </w:r>
          </w:p>
        </w:tc>
        <w:tc>
          <w:tcPr>
            <w:tcW w:w="2702"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11.9 ± 0.2</w:t>
            </w:r>
          </w:p>
        </w:tc>
        <w:tc>
          <w:tcPr>
            <w:tcW w:w="2193"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98</w:t>
            </w:r>
          </w:p>
        </w:tc>
      </w:tr>
      <w:tr>
        <w:tblPrEx>
          <w:tblLayout w:type="fixed"/>
          <w:tblCellMar>
            <w:top w:w="0" w:type="dxa"/>
            <w:left w:w="108" w:type="dxa"/>
            <w:bottom w:w="0" w:type="dxa"/>
            <w:right w:w="108" w:type="dxa"/>
          </w:tblCellMar>
        </w:tblPrEx>
        <w:trPr>
          <w:trHeight w:val="269" w:hRule="atLeast"/>
          <w:jc w:val="center"/>
        </w:trPr>
        <w:tc>
          <w:tcPr>
            <w:tcW w:w="145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Zn</w:t>
            </w:r>
          </w:p>
        </w:tc>
        <w:tc>
          <w:tcPr>
            <w:tcW w:w="2675"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82.30</w:t>
            </w:r>
          </w:p>
        </w:tc>
        <w:tc>
          <w:tcPr>
            <w:tcW w:w="2702"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77.4 ± 2.1</w:t>
            </w:r>
          </w:p>
        </w:tc>
        <w:tc>
          <w:tcPr>
            <w:tcW w:w="2193"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94</w:t>
            </w:r>
          </w:p>
        </w:tc>
      </w:tr>
      <w:tr>
        <w:tblPrEx>
          <w:tblLayout w:type="fixed"/>
          <w:tblCellMar>
            <w:top w:w="0" w:type="dxa"/>
            <w:left w:w="108" w:type="dxa"/>
            <w:bottom w:w="0" w:type="dxa"/>
            <w:right w:w="108" w:type="dxa"/>
          </w:tblCellMar>
        </w:tblPrEx>
        <w:trPr>
          <w:trHeight w:val="281" w:hRule="atLeast"/>
          <w:jc w:val="center"/>
        </w:trPr>
        <w:tc>
          <w:tcPr>
            <w:tcW w:w="145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Cd</w:t>
            </w:r>
          </w:p>
        </w:tc>
        <w:tc>
          <w:tcPr>
            <w:tcW w:w="2675"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2.88</w:t>
            </w:r>
          </w:p>
        </w:tc>
        <w:tc>
          <w:tcPr>
            <w:tcW w:w="2702"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2.84 ± 0.09</w:t>
            </w:r>
          </w:p>
        </w:tc>
        <w:tc>
          <w:tcPr>
            <w:tcW w:w="2193"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99</w:t>
            </w:r>
          </w:p>
        </w:tc>
      </w:tr>
      <w:tr>
        <w:tblPrEx>
          <w:tblLayout w:type="fixed"/>
          <w:tblCellMar>
            <w:top w:w="0" w:type="dxa"/>
            <w:left w:w="108" w:type="dxa"/>
            <w:bottom w:w="0" w:type="dxa"/>
            <w:right w:w="108" w:type="dxa"/>
          </w:tblCellMar>
        </w:tblPrEx>
        <w:trPr>
          <w:trHeight w:val="269" w:hRule="atLeast"/>
          <w:jc w:val="center"/>
        </w:trPr>
        <w:tc>
          <w:tcPr>
            <w:tcW w:w="145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Ni</w:t>
            </w:r>
          </w:p>
        </w:tc>
        <w:tc>
          <w:tcPr>
            <w:tcW w:w="2675"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2.14</w:t>
            </w:r>
          </w:p>
        </w:tc>
        <w:tc>
          <w:tcPr>
            <w:tcW w:w="2702"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2.11 ± 0.07</w:t>
            </w:r>
          </w:p>
        </w:tc>
        <w:tc>
          <w:tcPr>
            <w:tcW w:w="2193" w:type="dxa"/>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99</w:t>
            </w:r>
          </w:p>
        </w:tc>
      </w:tr>
      <w:tr>
        <w:tblPrEx>
          <w:tblLayout w:type="fixed"/>
          <w:tblCellMar>
            <w:top w:w="0" w:type="dxa"/>
            <w:left w:w="108" w:type="dxa"/>
            <w:bottom w:w="0" w:type="dxa"/>
            <w:right w:w="108" w:type="dxa"/>
          </w:tblCellMar>
        </w:tblPrEx>
        <w:trPr>
          <w:trHeight w:val="269" w:hRule="atLeast"/>
          <w:jc w:val="center"/>
        </w:trPr>
        <w:tc>
          <w:tcPr>
            <w:tcW w:w="1456"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Pb</w:t>
            </w:r>
          </w:p>
        </w:tc>
        <w:tc>
          <w:tcPr>
            <w:tcW w:w="2675" w:type="dxa"/>
            <w:tcBorders>
              <w:bottom w:val="single" w:color="auto" w:sz="4"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0.20</w:t>
            </w:r>
          </w:p>
        </w:tc>
        <w:tc>
          <w:tcPr>
            <w:tcW w:w="2702" w:type="dxa"/>
            <w:tcBorders>
              <w:bottom w:val="single" w:color="auto" w:sz="4"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0.21 ± 0.01</w:t>
            </w:r>
          </w:p>
        </w:tc>
        <w:tc>
          <w:tcPr>
            <w:tcW w:w="2193" w:type="dxa"/>
            <w:tcBorders>
              <w:bottom w:val="single" w:color="auto" w:sz="4" w:space="0"/>
            </w:tcBorders>
            <w:shd w:val="clear" w:color="auto" w:fill="auto"/>
          </w:tcPr>
          <w:p>
            <w:pPr>
              <w:spacing w:after="0" w:line="240" w:lineRule="auto"/>
              <w:ind w:firstLine="240" w:firstLineChars="100"/>
              <w:contextualSpacing/>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sz w:val="24"/>
                <w:szCs w:val="24"/>
                <w:lang w:val="en-US" w:eastAsia="tr-TR"/>
              </w:rPr>
              <w:t>105</w:t>
            </w:r>
          </w:p>
        </w:tc>
      </w:tr>
    </w:tbl>
    <w:p>
      <w:pPr>
        <w:spacing w:after="0" w:line="240" w:lineRule="auto"/>
        <w:ind w:firstLine="240" w:firstLineChars="100"/>
        <w:jc w:val="both"/>
        <w:rPr>
          <w:rFonts w:ascii="Times New Roman" w:hAnsi="Times New Roman" w:eastAsia="Times New Roman" w:cs="Times New Roman"/>
          <w:sz w:val="24"/>
          <w:szCs w:val="24"/>
          <w:lang w:val="en-US" w:eastAsia="tr-TR"/>
        </w:rPr>
      </w:pPr>
      <w:r>
        <w:rPr>
          <w:rFonts w:ascii="Times New Roman" w:hAnsi="Times New Roman" w:eastAsia="Times New Roman" w:cs="Times New Roman"/>
          <w:b/>
          <w:sz w:val="24"/>
          <w:szCs w:val="24"/>
          <w:lang w:val="en-US" w:eastAsia="tr-TR"/>
        </w:rPr>
        <w:t>Table 4</w:t>
      </w:r>
      <w:r>
        <w:rPr>
          <w:rFonts w:hint="eastAsia" w:ascii="Times New Roman" w:hAnsi="Times New Roman" w:eastAsia="宋体" w:cs="Times New Roman"/>
          <w:b/>
          <w:sz w:val="24"/>
          <w:szCs w:val="24"/>
          <w:lang w:val="en-US" w:eastAsia="zh-CN"/>
        </w:rPr>
        <w:t>.</w:t>
      </w:r>
      <w:r>
        <w:rPr>
          <w:rFonts w:ascii="Times New Roman" w:hAnsi="Times New Roman" w:eastAsia="Times New Roman" w:cs="Times New Roman"/>
          <w:sz w:val="24"/>
          <w:szCs w:val="24"/>
          <w:lang w:val="en-US" w:eastAsia="tr-TR"/>
        </w:rPr>
        <w:t>The certificate values, measured values, and recovery percentages of various metals in spinach standard (NIST-SRM 1570a, Spinach) (n=6).</w:t>
      </w:r>
    </w:p>
    <w:p>
      <w:pPr>
        <w:spacing w:after="120" w:line="240" w:lineRule="auto"/>
        <w:ind w:firstLine="240" w:firstLineChars="100"/>
        <w:jc w:val="both"/>
        <w:rPr>
          <w:rFonts w:ascii="Times New Roman" w:hAnsi="Times New Roman" w:cs="Times New Roman"/>
          <w:b/>
          <w:sz w:val="24"/>
          <w:szCs w:val="24"/>
          <w:lang w:val="en-US"/>
        </w:rPr>
      </w:pP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seen in Table 5, heavy metals (Ni, Pb, and Cr) were not determined in linden samples collected from the regions with low traffic density (traffic densities: 1&lt;4&lt;2&lt;3&lt;5), but the metal concentration values of linden samples collected from the regions near highways and industrial factories exceed the daily uptake limit of a person (especially for 3 and 5 regions). Furthermore, the concentrations of Zn, Fe, Mo, and Cd in samples collected from 3 and 5 regions were determined to be higher compared to the other regions. The lowest metal concentrations in linden samples were found to be in region 1, except for Fe metal, and the high Fe concentration can be related to the soil structure in region 1. The lowest Fe concentration was measured to be 128 ± 8 mg/kg (dry weight), while the highest Fe concentration was found to be 1310 ± 120 mg/kg (dry weight). Thus, the leaves and flowers of linden trees can be a bio monitor for Fe metal. </w:t>
      </w:r>
    </w:p>
    <w:tbl>
      <w:tblPr>
        <w:tblStyle w:val="6"/>
        <w:tblW w:w="9288" w:type="dxa"/>
        <w:tblInd w:w="0" w:type="dxa"/>
        <w:tblLayout w:type="fixed"/>
        <w:tblCellMar>
          <w:top w:w="0" w:type="dxa"/>
          <w:left w:w="108" w:type="dxa"/>
          <w:bottom w:w="0" w:type="dxa"/>
          <w:right w:w="108" w:type="dxa"/>
        </w:tblCellMar>
      </w:tblPr>
      <w:tblGrid>
        <w:gridCol w:w="1346"/>
        <w:gridCol w:w="1534"/>
        <w:gridCol w:w="1687"/>
        <w:gridCol w:w="1625"/>
        <w:gridCol w:w="1547"/>
        <w:gridCol w:w="1549"/>
      </w:tblGrid>
      <w:tr>
        <w:tblPrEx>
          <w:tblLayout w:type="fixed"/>
          <w:tblCellMar>
            <w:top w:w="0" w:type="dxa"/>
            <w:left w:w="108" w:type="dxa"/>
            <w:bottom w:w="0" w:type="dxa"/>
            <w:right w:w="108" w:type="dxa"/>
          </w:tblCellMar>
        </w:tblPrEx>
        <w:trPr>
          <w:trHeight w:val="125" w:hRule="atLeast"/>
        </w:trPr>
        <w:tc>
          <w:tcPr>
            <w:tcW w:w="1346" w:type="dxa"/>
            <w:vMerge w:val="restart"/>
            <w:tcBorders>
              <w:top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sz w:val="24"/>
                <w:szCs w:val="24"/>
                <w:lang w:val="en-US" w:eastAsia="tr-TR"/>
              </w:rPr>
              <w:t>Element</w:t>
            </w:r>
          </w:p>
        </w:tc>
        <w:tc>
          <w:tcPr>
            <w:tcW w:w="7942" w:type="dxa"/>
            <w:gridSpan w:val="5"/>
            <w:tcBorders>
              <w:top w:val="single" w:color="auto" w:sz="4" w:space="0"/>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b/>
                <w:bCs/>
                <w:color w:val="000000"/>
                <w:sz w:val="24"/>
                <w:szCs w:val="24"/>
                <w:lang w:val="en-US" w:eastAsia="tr-TR"/>
              </w:rPr>
            </w:pPr>
            <w:r>
              <w:rPr>
                <w:rFonts w:ascii="Times New Roman" w:hAnsi="Times New Roman" w:eastAsia="Times New Roman" w:cs="Times New Roman"/>
                <w:b/>
                <w:bCs/>
                <w:sz w:val="24"/>
                <w:szCs w:val="24"/>
                <w:lang w:val="en-US" w:eastAsia="tr-TR"/>
              </w:rPr>
              <w:t>Regions</w:t>
            </w:r>
          </w:p>
        </w:tc>
      </w:tr>
      <w:tr>
        <w:tblPrEx>
          <w:tblLayout w:type="fixed"/>
          <w:tblCellMar>
            <w:top w:w="0" w:type="dxa"/>
            <w:left w:w="108" w:type="dxa"/>
            <w:bottom w:w="0" w:type="dxa"/>
            <w:right w:w="108" w:type="dxa"/>
          </w:tblCellMar>
        </w:tblPrEx>
        <w:trPr>
          <w:trHeight w:val="159" w:hRule="atLeast"/>
        </w:trPr>
        <w:tc>
          <w:tcPr>
            <w:tcW w:w="1346" w:type="dxa"/>
            <w:vMerge w:val="continue"/>
            <w:tcBorders>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p>
        </w:tc>
        <w:tc>
          <w:tcPr>
            <w:tcW w:w="1534" w:type="dxa"/>
            <w:tcBorders>
              <w:top w:val="single" w:color="auto" w:sz="6" w:space="0"/>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w:t>
            </w:r>
          </w:p>
        </w:tc>
        <w:tc>
          <w:tcPr>
            <w:tcW w:w="1687" w:type="dxa"/>
            <w:tcBorders>
              <w:top w:val="single" w:color="auto" w:sz="6" w:space="0"/>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w:t>
            </w:r>
          </w:p>
        </w:tc>
        <w:tc>
          <w:tcPr>
            <w:tcW w:w="1625" w:type="dxa"/>
            <w:tcBorders>
              <w:top w:val="single" w:color="auto" w:sz="6" w:space="0"/>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w:t>
            </w:r>
          </w:p>
        </w:tc>
        <w:tc>
          <w:tcPr>
            <w:tcW w:w="1547" w:type="dxa"/>
            <w:tcBorders>
              <w:top w:val="single" w:color="auto" w:sz="6" w:space="0"/>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4</w:t>
            </w:r>
          </w:p>
        </w:tc>
        <w:tc>
          <w:tcPr>
            <w:tcW w:w="1549" w:type="dxa"/>
            <w:tcBorders>
              <w:top w:val="single" w:color="auto" w:sz="6" w:space="0"/>
              <w:bottom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5</w:t>
            </w:r>
          </w:p>
        </w:tc>
      </w:tr>
      <w:tr>
        <w:tblPrEx>
          <w:tblLayout w:type="fixed"/>
          <w:tblCellMar>
            <w:top w:w="0" w:type="dxa"/>
            <w:left w:w="108" w:type="dxa"/>
            <w:bottom w:w="0" w:type="dxa"/>
            <w:right w:w="108" w:type="dxa"/>
          </w:tblCellMar>
        </w:tblPrEx>
        <w:trPr>
          <w:cantSplit/>
          <w:trHeight w:val="20" w:hRule="atLeast"/>
        </w:trPr>
        <w:tc>
          <w:tcPr>
            <w:tcW w:w="1346"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Mn</w:t>
            </w:r>
          </w:p>
        </w:tc>
        <w:tc>
          <w:tcPr>
            <w:tcW w:w="1534"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45.3 ± 1.4</w:t>
            </w:r>
          </w:p>
        </w:tc>
        <w:tc>
          <w:tcPr>
            <w:tcW w:w="1687"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48.5 ± 1.2</w:t>
            </w:r>
          </w:p>
        </w:tc>
        <w:tc>
          <w:tcPr>
            <w:tcW w:w="1625"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91.3 ± 5.8</w:t>
            </w:r>
          </w:p>
        </w:tc>
        <w:tc>
          <w:tcPr>
            <w:tcW w:w="1547"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249 ± 9</w:t>
            </w:r>
          </w:p>
        </w:tc>
        <w:tc>
          <w:tcPr>
            <w:tcW w:w="1549" w:type="dxa"/>
            <w:tcBorders>
              <w:top w:val="single" w:color="auto" w:sz="6"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268 ± 7</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Cu</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0.25 ± 0.01</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7.45 ± 0.37</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3.99 ± 0.02</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5.98 ± 0.12</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18.8 ± 0.2</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Zn</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11.5  ± 0.6</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12.7 ± 0.6</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30.5 ± 1.1</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13.5 ± 0.8</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46.1 ± 1.6</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Fe</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321 ± 23</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128 ± 8</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1047 ± 80</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159 ± 11</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1310 ± 120</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Mo</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10.4</w:t>
            </w:r>
            <w:r>
              <w:rPr>
                <w:rFonts w:ascii="Times New Roman" w:hAnsi="Times New Roman" w:eastAsia="Times New Roman" w:cs="Times New Roman"/>
                <w:sz w:val="24"/>
                <w:szCs w:val="24"/>
                <w:lang w:val="en-US" w:eastAsia="tr-TR"/>
              </w:rPr>
              <w:t xml:space="preserve"> ± 0.4</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18.2</w:t>
            </w:r>
            <w:r>
              <w:rPr>
                <w:rFonts w:ascii="Times New Roman" w:hAnsi="Times New Roman" w:eastAsia="Times New Roman" w:cs="Times New Roman"/>
                <w:sz w:val="24"/>
                <w:szCs w:val="24"/>
                <w:lang w:val="en-US" w:eastAsia="tr-TR"/>
              </w:rPr>
              <w:t xml:space="preserve"> ± 0.7</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30.7</w:t>
            </w:r>
            <w:r>
              <w:rPr>
                <w:rFonts w:ascii="Times New Roman" w:hAnsi="Times New Roman" w:eastAsia="Times New Roman" w:cs="Times New Roman"/>
                <w:sz w:val="24"/>
                <w:szCs w:val="24"/>
                <w:lang w:val="en-US" w:eastAsia="tr-TR"/>
              </w:rPr>
              <w:t xml:space="preserve"> ± 1.7</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23.9</w:t>
            </w:r>
            <w:r>
              <w:rPr>
                <w:rFonts w:ascii="Times New Roman" w:hAnsi="Times New Roman" w:eastAsia="Times New Roman" w:cs="Times New Roman"/>
                <w:sz w:val="24"/>
                <w:szCs w:val="24"/>
                <w:lang w:val="en-US" w:eastAsia="tr-TR"/>
              </w:rPr>
              <w:t xml:space="preserve"> ± 1.5</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38.6</w:t>
            </w:r>
            <w:r>
              <w:rPr>
                <w:rFonts w:ascii="Times New Roman" w:hAnsi="Times New Roman" w:eastAsia="Times New Roman" w:cs="Times New Roman"/>
                <w:sz w:val="24"/>
                <w:szCs w:val="24"/>
                <w:lang w:val="en-US" w:eastAsia="tr-TR"/>
              </w:rPr>
              <w:t xml:space="preserve"> ± 1.8</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Cd</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0.82 ± 0.05</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0.87 ± 0.06</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1.11 ± 0.07</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0.94 ± 0.08</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1.34 ± 0.12</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Ni</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ND</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1.07 ± 0.11</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1.44 ± 0.13</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1,13 ± 0.11</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6.45 ± 0.32</w:t>
            </w:r>
          </w:p>
        </w:tc>
      </w:tr>
      <w:tr>
        <w:tblPrEx>
          <w:tblLayout w:type="fixed"/>
          <w:tblCellMar>
            <w:top w:w="0" w:type="dxa"/>
            <w:left w:w="108" w:type="dxa"/>
            <w:bottom w:w="0" w:type="dxa"/>
            <w:right w:w="108" w:type="dxa"/>
          </w:tblCellMar>
        </w:tblPrEx>
        <w:trPr>
          <w:cantSplit/>
          <w:trHeight w:val="20" w:hRule="atLeast"/>
        </w:trPr>
        <w:tc>
          <w:tcPr>
            <w:tcW w:w="1346"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Pb</w:t>
            </w:r>
          </w:p>
        </w:tc>
        <w:tc>
          <w:tcPr>
            <w:tcW w:w="1534"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ND</w:t>
            </w:r>
          </w:p>
        </w:tc>
        <w:tc>
          <w:tcPr>
            <w:tcW w:w="168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ND</w:t>
            </w:r>
          </w:p>
        </w:tc>
        <w:tc>
          <w:tcPr>
            <w:tcW w:w="1625"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12.0 ± 0.5</w:t>
            </w:r>
          </w:p>
        </w:tc>
        <w:tc>
          <w:tcPr>
            <w:tcW w:w="1547"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ND</w:t>
            </w:r>
          </w:p>
        </w:tc>
        <w:tc>
          <w:tcPr>
            <w:tcW w:w="1549" w:type="dxa"/>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19.2 ± 0.1</w:t>
            </w:r>
          </w:p>
        </w:tc>
      </w:tr>
      <w:tr>
        <w:tblPrEx>
          <w:tblLayout w:type="fixed"/>
          <w:tblCellMar>
            <w:top w:w="0" w:type="dxa"/>
            <w:left w:w="108" w:type="dxa"/>
            <w:bottom w:w="0" w:type="dxa"/>
            <w:right w:w="108" w:type="dxa"/>
          </w:tblCellMar>
        </w:tblPrEx>
        <w:trPr>
          <w:cantSplit/>
          <w:trHeight w:val="20" w:hRule="atLeast"/>
        </w:trPr>
        <w:tc>
          <w:tcPr>
            <w:tcW w:w="1346"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Cr</w:t>
            </w:r>
          </w:p>
        </w:tc>
        <w:tc>
          <w:tcPr>
            <w:tcW w:w="1534"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ND</w:t>
            </w:r>
          </w:p>
        </w:tc>
        <w:tc>
          <w:tcPr>
            <w:tcW w:w="1687"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ND</w:t>
            </w:r>
          </w:p>
        </w:tc>
        <w:tc>
          <w:tcPr>
            <w:tcW w:w="1625"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3.71 ± 0.35</w:t>
            </w:r>
          </w:p>
        </w:tc>
        <w:tc>
          <w:tcPr>
            <w:tcW w:w="1547"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color w:val="000000"/>
                <w:sz w:val="24"/>
                <w:szCs w:val="24"/>
                <w:lang w:val="en-US" w:eastAsia="tr-TR"/>
              </w:rPr>
              <w:t>ND</w:t>
            </w:r>
          </w:p>
        </w:tc>
        <w:tc>
          <w:tcPr>
            <w:tcW w:w="1549" w:type="dxa"/>
            <w:tcBorders>
              <w:bottom w:val="single" w:color="auto" w:sz="4" w:space="0"/>
            </w:tcBorders>
            <w:shd w:val="clear" w:color="auto" w:fill="auto"/>
            <w:vAlign w:val="center"/>
          </w:tcPr>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8.25 ± 0.78</w:t>
            </w:r>
          </w:p>
        </w:tc>
      </w:tr>
    </w:tbl>
    <w:p>
      <w:pPr>
        <w:spacing w:after="0" w:line="240" w:lineRule="auto"/>
        <w:ind w:firstLine="200" w:firstLineChars="100"/>
        <w:jc w:val="both"/>
        <w:rPr>
          <w:rFonts w:ascii="Times New Roman" w:hAnsi="Times New Roman" w:eastAsia="Times New Roman" w:cs="Times New Roman"/>
          <w:color w:val="000000"/>
          <w:sz w:val="20"/>
          <w:szCs w:val="20"/>
          <w:lang w:val="en-US" w:eastAsia="tr-TR"/>
        </w:rPr>
      </w:pPr>
      <w:r>
        <w:rPr>
          <w:rFonts w:ascii="Times New Roman" w:hAnsi="Times New Roman" w:eastAsia="Times New Roman" w:cs="Times New Roman"/>
          <w:color w:val="000000"/>
          <w:sz w:val="20"/>
          <w:szCs w:val="20"/>
          <w:lang w:val="en-US" w:eastAsia="tr-TR"/>
        </w:rPr>
        <w:t xml:space="preserve">*ND: Not detected. </w:t>
      </w:r>
    </w:p>
    <w:p>
      <w:pPr>
        <w:spacing w:after="0" w:line="240" w:lineRule="auto"/>
        <w:ind w:right="-1"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b/>
          <w:color w:val="000000"/>
          <w:sz w:val="24"/>
          <w:szCs w:val="24"/>
          <w:lang w:val="en-US" w:eastAsia="tr-TR"/>
        </w:rPr>
        <w:t>Table 5</w:t>
      </w:r>
      <w:r>
        <w:rPr>
          <w:rFonts w:hint="eastAsia" w:ascii="Times New Roman" w:hAnsi="Times New Roman" w:eastAsia="宋体" w:cs="Times New Roman"/>
          <w:b/>
          <w:color w:val="000000"/>
          <w:sz w:val="24"/>
          <w:szCs w:val="24"/>
          <w:lang w:val="en-US" w:eastAsia="zh-CN"/>
        </w:rPr>
        <w:t>.</w:t>
      </w:r>
      <w:r>
        <w:rPr>
          <w:rFonts w:ascii="Times New Roman" w:hAnsi="Times New Roman" w:eastAsia="Times New Roman" w:cs="Times New Roman"/>
          <w:color w:val="000000"/>
          <w:sz w:val="24"/>
          <w:szCs w:val="24"/>
          <w:lang w:val="en-US" w:eastAsia="tr-TR"/>
        </w:rPr>
        <w:t>Metal concentrations in leaves and flowers from linden trees (mg/kg, dry weight) (n=6).</w:t>
      </w:r>
    </w:p>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p>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p>
    <w:p>
      <w:pPr>
        <w:spacing w:after="120" w:line="240" w:lineRule="auto"/>
        <w:ind w:firstLine="240" w:firstLineChars="100"/>
        <w:jc w:val="both"/>
        <w:rPr>
          <w:rFonts w:ascii="Times New Roman" w:hAnsi="Times New Roman" w:cs="Times New Roman"/>
          <w:b/>
          <w:sz w:val="24"/>
          <w:szCs w:val="24"/>
          <w:lang w:val="en-US"/>
        </w:rPr>
      </w:pPr>
      <w:r>
        <w:rPr>
          <w:rFonts w:ascii="Times New Roman" w:hAnsi="Times New Roman" w:cs="Times New Roman"/>
          <w:b/>
          <w:sz w:val="24"/>
          <w:szCs w:val="24"/>
          <w:lang w:val="en-US"/>
        </w:rPr>
        <w:t>3.2. Organochloride Pesticide Analyses of Linden Samples</w:t>
      </w:r>
    </w:p>
    <w:p>
      <w:pPr>
        <w:spacing w:after="24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cs="Times New Roman"/>
          <w:sz w:val="24"/>
          <w:szCs w:val="24"/>
          <w:lang w:val="en-US"/>
        </w:rPr>
        <w:t>According to the pesticide residue limit regulation of Turkish Food Codex</w:t>
      </w:r>
      <w:r>
        <w:rPr>
          <w:rFonts w:ascii="Times New Roman" w:hAnsi="Times New Roman" w:cs="Times New Roman"/>
          <w:color w:val="000000"/>
          <w:sz w:val="24"/>
          <w:szCs w:val="24"/>
          <w:vertAlign w:val="superscript"/>
          <w:lang w:val="en-US"/>
        </w:rPr>
        <w:t>[28]</w:t>
      </w:r>
      <w:r>
        <w:rPr>
          <w:rFonts w:ascii="Times New Roman" w:hAnsi="Times New Roman" w:cs="Times New Roman"/>
          <w:sz w:val="24"/>
          <w:szCs w:val="24"/>
          <w:lang w:val="en-US"/>
        </w:rPr>
        <w:t xml:space="preserve">, MRL (maximum residue level) values for linden samples are given in Table 6. To test the accuracy of analysis method, recovery experiments were carried out by using standard addition method, and it was determined that the sensitivity of the analysis method done for each organochloride pesticide was good. At standard addition step, each sample was separated into four parts, and first part was completed 1 mL with hexane. By using 1000 ppb standard solution, second, third and fourth parts were adjusted to 10, 25, and 50 ppb, respectively, and then the last volumes were completed 1 mL. All solutions were measured at </w:t>
      </w:r>
      <w:r>
        <w:rPr>
          <w:rFonts w:ascii="Times New Roman" w:hAnsi="Times New Roman" w:cs="Times New Roman"/>
          <w:color w:val="000000"/>
          <w:sz w:val="24"/>
          <w:szCs w:val="24"/>
          <w:lang w:val="en-US"/>
        </w:rPr>
        <w:t xml:space="preserve">GC-MS, and </w:t>
      </w:r>
      <w:r>
        <w:rPr>
          <w:rFonts w:ascii="Times New Roman" w:hAnsi="Times New Roman" w:eastAsia="Times New Roman" w:cs="Times New Roman"/>
          <w:color w:val="000000"/>
          <w:sz w:val="24"/>
          <w:szCs w:val="24"/>
          <w:lang w:val="en-US" w:eastAsia="tr-TR"/>
        </w:rPr>
        <w:t>correlation coefficients (R</w:t>
      </w:r>
      <w:r>
        <w:rPr>
          <w:rFonts w:ascii="Times New Roman" w:hAnsi="Times New Roman" w:eastAsia="Times New Roman" w:cs="Times New Roman"/>
          <w:color w:val="000000"/>
          <w:sz w:val="24"/>
          <w:szCs w:val="24"/>
          <w:vertAlign w:val="superscript"/>
          <w:lang w:val="en-US" w:eastAsia="tr-TR"/>
        </w:rPr>
        <w:t>2</w:t>
      </w:r>
      <w:r>
        <w:rPr>
          <w:rFonts w:ascii="Times New Roman" w:hAnsi="Times New Roman" w:eastAsia="Times New Roman" w:cs="Times New Roman"/>
          <w:color w:val="000000"/>
          <w:sz w:val="24"/>
          <w:szCs w:val="24"/>
          <w:lang w:val="en-US" w:eastAsia="tr-TR"/>
        </w:rPr>
        <w:t xml:space="preserve">) were determined to be higher than 0.99 from their calibration curves. By calculating real concentration values for linden samples, </w:t>
      </w:r>
      <w:r>
        <w:rPr>
          <w:rFonts w:ascii="Times New Roman" w:hAnsi="Times New Roman" w:eastAsia="Times New Roman" w:cs="Times New Roman"/>
          <w:sz w:val="24"/>
          <w:szCs w:val="24"/>
          <w:lang w:val="en-US" w:eastAsia="tr-TR"/>
        </w:rPr>
        <w:t>organochloride pesticide concentrations</w:t>
      </w:r>
      <w:r>
        <w:rPr>
          <w:rFonts w:ascii="Times New Roman" w:hAnsi="Times New Roman" w:eastAsia="Times New Roman" w:cs="Times New Roman"/>
          <w:color w:val="000000"/>
          <w:sz w:val="24"/>
          <w:szCs w:val="24"/>
          <w:lang w:val="en-US" w:eastAsia="tr-TR"/>
        </w:rPr>
        <w:t xml:space="preserve"> are presented in Table 6.</w:t>
      </w:r>
    </w:p>
    <w:p>
      <w:pPr>
        <w:spacing w:after="24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sz w:val="24"/>
          <w:szCs w:val="24"/>
          <w:lang w:val="en-US" w:eastAsia="tr-TR"/>
        </w:rPr>
        <w:t xml:space="preserve">The concentrations of ∑DDT, Heptachlor, Heptachlor-endo-epoxide, α-Endosulfan, β-Endosulfan, Endosulfan-sulfate, Endrin-ketone, and Methoxychlor in samples were determined to be lower than their </w:t>
      </w:r>
      <w:r>
        <w:rPr>
          <w:rFonts w:ascii="Times New Roman" w:hAnsi="Times New Roman" w:cs="Times New Roman"/>
          <w:sz w:val="24"/>
          <w:szCs w:val="24"/>
          <w:lang w:val="en-US"/>
        </w:rPr>
        <w:t xml:space="preserve">maximum residue level values (MRLs). On the other hand, the concentrations of ∑HCH, Aldrin, and Dieldrin are close to their MRL values. Also, the values of Endrin and Endrin-aldheyde in the samples collected from region 5 were detected to be 1.5-2 times higher than their MRLs. Moreover, Endrin concentrations in the samples have the highest values compared to the other organochloride pesticides in samples collected from all regions, except for Endrin-aldheyde in the sample collected from region 5. </w:t>
      </w:r>
      <w:r>
        <w:rPr>
          <w:rFonts w:ascii="Times New Roman" w:hAnsi="Times New Roman" w:eastAsia="Times New Roman" w:cs="Times New Roman"/>
          <w:sz w:val="24"/>
          <w:szCs w:val="24"/>
          <w:lang w:val="en-US" w:eastAsia="tr-TR"/>
        </w:rPr>
        <w:t>Pesticides can reach the leaves and flowers of linden trees not only from soil but also air by winds; therefore, pesticides fallen to the leaves and flowers of linden trees may penetrate in the leaves and flowers, or they may be adsorbed on the surfaces.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These high Endrin concentrations can be caused by intensive agricultural activities at regions or their neighbor regions.</w:t>
      </w:r>
    </w:p>
    <w:tbl>
      <w:tblPr>
        <w:tblStyle w:val="6"/>
        <w:tblW w:w="9288" w:type="dxa"/>
        <w:tblInd w:w="0" w:type="dxa"/>
        <w:tblLayout w:type="fixed"/>
        <w:tblCellMar>
          <w:top w:w="0" w:type="dxa"/>
          <w:left w:w="108" w:type="dxa"/>
          <w:bottom w:w="0" w:type="dxa"/>
          <w:right w:w="108" w:type="dxa"/>
        </w:tblCellMar>
      </w:tblPr>
      <w:tblGrid>
        <w:gridCol w:w="1983"/>
        <w:gridCol w:w="1088"/>
        <w:gridCol w:w="1243"/>
        <w:gridCol w:w="1243"/>
        <w:gridCol w:w="1243"/>
        <w:gridCol w:w="1243"/>
        <w:gridCol w:w="1245"/>
      </w:tblGrid>
      <w:tr>
        <w:tblPrEx>
          <w:tblLayout w:type="fixed"/>
          <w:tblCellMar>
            <w:top w:w="0" w:type="dxa"/>
            <w:left w:w="108" w:type="dxa"/>
            <w:bottom w:w="0" w:type="dxa"/>
            <w:right w:w="108" w:type="dxa"/>
          </w:tblCellMar>
        </w:tblPrEx>
        <w:trPr>
          <w:trHeight w:val="319" w:hRule="atLeast"/>
        </w:trPr>
        <w:tc>
          <w:tcPr>
            <w:tcW w:w="1983" w:type="dxa"/>
            <w:vMerge w:val="restart"/>
            <w:tcBorders>
              <w:top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b/>
                <w:bCs/>
                <w:color w:val="000000"/>
                <w:lang w:val="en-US" w:eastAsia="tr-TR"/>
              </w:rPr>
            </w:pPr>
            <w:r>
              <w:rPr>
                <w:rFonts w:ascii="Times New Roman" w:hAnsi="Times New Roman" w:eastAsia="Times New Roman" w:cs="Times New Roman"/>
                <w:b/>
                <w:bCs/>
                <w:color w:val="000000"/>
                <w:lang w:val="en-US" w:eastAsia="tr-TR"/>
              </w:rPr>
              <w:t>Pesticides</w:t>
            </w:r>
          </w:p>
        </w:tc>
        <w:tc>
          <w:tcPr>
            <w:tcW w:w="1088" w:type="dxa"/>
            <w:vMerge w:val="restart"/>
            <w:tcBorders>
              <w:top w:val="single" w:color="auto" w:sz="4" w:space="0"/>
            </w:tcBorders>
            <w:vAlign w:val="center"/>
          </w:tcPr>
          <w:p>
            <w:pPr>
              <w:spacing w:after="0" w:line="240" w:lineRule="auto"/>
              <w:ind w:firstLine="220" w:firstLineChars="100"/>
              <w:jc w:val="both"/>
              <w:rPr>
                <w:rFonts w:ascii="Times New Roman" w:hAnsi="Times New Roman" w:eastAsia="Times New Roman" w:cs="Times New Roman"/>
                <w:b/>
                <w:bCs/>
                <w:lang w:val="en-US" w:eastAsia="tr-TR"/>
              </w:rPr>
            </w:pPr>
            <w:r>
              <w:rPr>
                <w:rFonts w:ascii="Times New Roman" w:hAnsi="Times New Roman" w:eastAsia="Times New Roman" w:cs="Times New Roman"/>
                <w:b/>
                <w:bCs/>
                <w:lang w:val="en-US" w:eastAsia="tr-TR"/>
              </w:rPr>
              <w:t>MRL</w:t>
            </w:r>
          </w:p>
        </w:tc>
        <w:tc>
          <w:tcPr>
            <w:tcW w:w="6217" w:type="dxa"/>
            <w:gridSpan w:val="5"/>
            <w:tcBorders>
              <w:top w:val="single" w:color="auto" w:sz="4" w:space="0"/>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b/>
                <w:bCs/>
                <w:color w:val="000000"/>
                <w:lang w:val="en-US" w:eastAsia="tr-TR"/>
              </w:rPr>
            </w:pPr>
            <w:r>
              <w:rPr>
                <w:rFonts w:ascii="Times New Roman" w:hAnsi="Times New Roman" w:eastAsia="Times New Roman" w:cs="Times New Roman"/>
                <w:b/>
                <w:bCs/>
                <w:lang w:val="en-US" w:eastAsia="tr-TR"/>
              </w:rPr>
              <w:t>Regions</w:t>
            </w:r>
          </w:p>
        </w:tc>
      </w:tr>
      <w:tr>
        <w:tblPrEx>
          <w:tblLayout w:type="fixed"/>
          <w:tblCellMar>
            <w:top w:w="0" w:type="dxa"/>
            <w:left w:w="108" w:type="dxa"/>
            <w:bottom w:w="0" w:type="dxa"/>
            <w:right w:w="108" w:type="dxa"/>
          </w:tblCellMar>
        </w:tblPrEx>
        <w:trPr>
          <w:trHeight w:val="280" w:hRule="atLeast"/>
        </w:trPr>
        <w:tc>
          <w:tcPr>
            <w:tcW w:w="1983" w:type="dxa"/>
            <w:vMerge w:val="continue"/>
            <w:tcBorders>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p>
        </w:tc>
        <w:tc>
          <w:tcPr>
            <w:tcW w:w="1088" w:type="dxa"/>
            <w:vMerge w:val="continue"/>
            <w:tcBorders>
              <w:bottom w:val="single" w:color="auto" w:sz="6" w:space="0"/>
            </w:tcBorders>
          </w:tcPr>
          <w:p>
            <w:pPr>
              <w:spacing w:after="0" w:line="240" w:lineRule="auto"/>
              <w:ind w:firstLine="220" w:firstLineChars="100"/>
              <w:jc w:val="both"/>
              <w:rPr>
                <w:rFonts w:ascii="Times New Roman" w:hAnsi="Times New Roman" w:eastAsia="Times New Roman" w:cs="Times New Roman"/>
                <w:color w:val="000000"/>
                <w:lang w:val="en-US" w:eastAsia="tr-TR"/>
              </w:rPr>
            </w:pPr>
          </w:p>
        </w:tc>
        <w:tc>
          <w:tcPr>
            <w:tcW w:w="1243" w:type="dxa"/>
            <w:tcBorders>
              <w:top w:val="single" w:color="auto" w:sz="6" w:space="0"/>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1</w:t>
            </w:r>
          </w:p>
        </w:tc>
        <w:tc>
          <w:tcPr>
            <w:tcW w:w="1243" w:type="dxa"/>
            <w:tcBorders>
              <w:top w:val="single" w:color="auto" w:sz="6" w:space="0"/>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2</w:t>
            </w:r>
          </w:p>
        </w:tc>
        <w:tc>
          <w:tcPr>
            <w:tcW w:w="1243" w:type="dxa"/>
            <w:tcBorders>
              <w:top w:val="single" w:color="auto" w:sz="6" w:space="0"/>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w:t>
            </w:r>
          </w:p>
        </w:tc>
        <w:tc>
          <w:tcPr>
            <w:tcW w:w="1243" w:type="dxa"/>
            <w:tcBorders>
              <w:top w:val="single" w:color="auto" w:sz="6" w:space="0"/>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4</w:t>
            </w:r>
          </w:p>
        </w:tc>
        <w:tc>
          <w:tcPr>
            <w:tcW w:w="1245" w:type="dxa"/>
            <w:tcBorders>
              <w:top w:val="single" w:color="auto" w:sz="6" w:space="0"/>
              <w:bottom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5</w:t>
            </w:r>
          </w:p>
        </w:tc>
      </w:tr>
      <w:tr>
        <w:tblPrEx>
          <w:tblLayout w:type="fixed"/>
          <w:tblCellMar>
            <w:top w:w="0" w:type="dxa"/>
            <w:left w:w="108" w:type="dxa"/>
            <w:bottom w:w="0" w:type="dxa"/>
            <w:right w:w="108" w:type="dxa"/>
          </w:tblCellMar>
        </w:tblPrEx>
        <w:trPr>
          <w:cantSplit/>
          <w:trHeight w:val="20" w:hRule="atLeast"/>
        </w:trPr>
        <w:tc>
          <w:tcPr>
            <w:tcW w:w="1983" w:type="dxa"/>
            <w:tcBorders>
              <w:top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α-HCH</w:t>
            </w:r>
          </w:p>
        </w:tc>
        <w:tc>
          <w:tcPr>
            <w:tcW w:w="1088" w:type="dxa"/>
            <w:tcBorders>
              <w:top w:val="single" w:color="auto" w:sz="6" w:space="0"/>
            </w:tcBorders>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0.02</w:t>
            </w:r>
          </w:p>
        </w:tc>
        <w:tc>
          <w:tcPr>
            <w:tcW w:w="1243" w:type="dxa"/>
            <w:tcBorders>
              <w:top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25.6 ± 0.7</w:t>
            </w:r>
          </w:p>
        </w:tc>
        <w:tc>
          <w:tcPr>
            <w:tcW w:w="1243" w:type="dxa"/>
            <w:tcBorders>
              <w:top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25.7 ± 0.7</w:t>
            </w:r>
          </w:p>
        </w:tc>
        <w:tc>
          <w:tcPr>
            <w:tcW w:w="1243" w:type="dxa"/>
            <w:tcBorders>
              <w:top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26.2 ± 0.6</w:t>
            </w:r>
          </w:p>
        </w:tc>
        <w:tc>
          <w:tcPr>
            <w:tcW w:w="1243" w:type="dxa"/>
            <w:tcBorders>
              <w:top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25.9 ± 0.6</w:t>
            </w:r>
          </w:p>
        </w:tc>
        <w:tc>
          <w:tcPr>
            <w:tcW w:w="1245" w:type="dxa"/>
            <w:tcBorders>
              <w:top w:val="single" w:color="auto" w:sz="6"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27.0 ± 0.6</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β-HCH</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30.5 ± 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30.8 ± 0.6</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31.5 ± 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31.2 ± 0.6</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31.6 ± 0.5</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γ-HCH</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ND</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26.0 ± 2.3</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25.9 ± 2.4</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27.7 ± 2.6</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30.7 ± 2.9</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δ-HCH</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26.7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26.8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26.8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26.8 ± 0.1</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26.8 ± 0.1</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 xml:space="preserve">Heptachlor </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36.4 ± 0.6</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37.3 ± 0.7</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41.2 ± 0.8</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36.6 ± 0.9</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50.0 ± 0.9</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Aldrin</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22.6 ± 0.4</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22.8 ± 0.3</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23.2 ± 0.4</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23.5 ± 0.4</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23.5 ± 0.3</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Heptachlor-endo-epoxide</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 xml:space="preserve">29.2 ± 2.8 </w:t>
            </w:r>
          </w:p>
          <w:p>
            <w:pPr>
              <w:spacing w:after="0" w:line="240" w:lineRule="auto"/>
              <w:ind w:firstLine="220" w:firstLineChars="100"/>
              <w:jc w:val="both"/>
              <w:rPr>
                <w:rFonts w:ascii="Times New Roman" w:hAnsi="Times New Roman" w:eastAsia="Times New Roman" w:cs="Times New Roman"/>
                <w:lang w:val="en-US" w:eastAsia="tr-TR"/>
              </w:rPr>
            </w:pP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33.8 ± 3.3</w:t>
            </w:r>
          </w:p>
          <w:p>
            <w:pPr>
              <w:spacing w:after="0" w:line="240" w:lineRule="auto"/>
              <w:ind w:firstLine="220" w:firstLineChars="100"/>
              <w:jc w:val="both"/>
              <w:rPr>
                <w:rFonts w:ascii="Times New Roman" w:hAnsi="Times New Roman" w:eastAsia="Times New Roman" w:cs="Times New Roman"/>
                <w:lang w:val="en-US" w:eastAsia="tr-TR"/>
              </w:rPr>
            </w:pP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35.9 ± 3.5</w:t>
            </w:r>
          </w:p>
          <w:p>
            <w:pPr>
              <w:spacing w:after="0" w:line="240" w:lineRule="auto"/>
              <w:ind w:firstLine="220" w:firstLineChars="100"/>
              <w:jc w:val="both"/>
              <w:rPr>
                <w:rFonts w:ascii="Times New Roman" w:hAnsi="Times New Roman" w:eastAsia="Times New Roman" w:cs="Times New Roman"/>
                <w:lang w:val="en-US" w:eastAsia="tr-TR"/>
              </w:rPr>
            </w:pP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34.2 ± 3.3</w:t>
            </w:r>
          </w:p>
          <w:p>
            <w:pPr>
              <w:spacing w:after="0" w:line="240" w:lineRule="auto"/>
              <w:ind w:firstLine="220" w:firstLineChars="100"/>
              <w:jc w:val="both"/>
              <w:rPr>
                <w:rFonts w:ascii="Times New Roman" w:hAnsi="Times New Roman" w:eastAsia="Times New Roman" w:cs="Times New Roman"/>
                <w:lang w:val="en-US" w:eastAsia="tr-TR"/>
              </w:rPr>
            </w:pP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38.3 ± 3.7</w:t>
            </w:r>
          </w:p>
          <w:p>
            <w:pPr>
              <w:spacing w:after="0" w:line="240" w:lineRule="auto"/>
              <w:ind w:firstLine="220" w:firstLineChars="100"/>
              <w:jc w:val="both"/>
              <w:rPr>
                <w:rFonts w:ascii="Times New Roman" w:hAnsi="Times New Roman" w:eastAsia="Times New Roman" w:cs="Times New Roman"/>
                <w:lang w:val="en-US" w:eastAsia="tr-TR"/>
              </w:rPr>
            </w:pP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α-Endosulfan</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ND</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ND</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ND</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ND</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ND</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lang w:val="en-US" w:eastAsia="tr-TR"/>
              </w:rPr>
              <w:t>4,4’-DDE</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24.8 ± 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24.2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24.4 ± 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24.4 ± 0.2</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24.5 ± 0.2</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Dieldrin</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33.2 ± 2.0</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33.8 ± 1.9</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35.2 ± 1.9</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36.4 ± 1.8</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37.2 ± 1.9</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Endrin</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134 ± 13</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66.3 ± 6.5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105 ± 11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92.4 ± 9.3</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144 ± 14</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β-Endosulfan</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25.7 ± 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26.8 ± 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26.4 ± 0.7</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26.9 ± 0.6</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26.8 ± 0.6</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4,4’-DDD</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30.0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29.8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29.8 ± 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29.8 ± 0.1</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29.8 ± 0.2</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Endrin-aldheyde</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ND</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145 ± 13</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ND</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28.8 ± 2.6</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220 ± 21</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Endosulfan-sulfate</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32.8 ± 0.1</w:t>
            </w:r>
          </w:p>
          <w:p>
            <w:pPr>
              <w:spacing w:after="0" w:line="240" w:lineRule="auto"/>
              <w:ind w:firstLine="220" w:firstLineChars="100"/>
              <w:jc w:val="both"/>
              <w:rPr>
                <w:rFonts w:ascii="Times New Roman" w:hAnsi="Times New Roman" w:eastAsia="Times New Roman" w:cs="Times New Roman"/>
                <w:lang w:val="en-US" w:eastAsia="tr-TR"/>
              </w:rPr>
            </w:pP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32.9 ± 0.1</w:t>
            </w:r>
          </w:p>
          <w:p>
            <w:pPr>
              <w:spacing w:after="0" w:line="240" w:lineRule="auto"/>
              <w:ind w:firstLine="220" w:firstLineChars="100"/>
              <w:jc w:val="both"/>
              <w:rPr>
                <w:rFonts w:ascii="Times New Roman" w:hAnsi="Times New Roman" w:eastAsia="Times New Roman" w:cs="Times New Roman"/>
                <w:lang w:val="en-US" w:eastAsia="tr-TR"/>
              </w:rPr>
            </w:pP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32.9 ± 0.1</w:t>
            </w:r>
          </w:p>
          <w:p>
            <w:pPr>
              <w:spacing w:after="0" w:line="240" w:lineRule="auto"/>
              <w:ind w:firstLine="220" w:firstLineChars="100"/>
              <w:jc w:val="both"/>
              <w:rPr>
                <w:rFonts w:ascii="Times New Roman" w:hAnsi="Times New Roman" w:eastAsia="Times New Roman" w:cs="Times New Roman"/>
                <w:lang w:val="en-US" w:eastAsia="tr-TR"/>
              </w:rPr>
            </w:pP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32.8 ± 0.1</w:t>
            </w:r>
          </w:p>
          <w:p>
            <w:pPr>
              <w:spacing w:after="0" w:line="240" w:lineRule="auto"/>
              <w:ind w:firstLine="220" w:firstLineChars="100"/>
              <w:jc w:val="both"/>
              <w:rPr>
                <w:rFonts w:ascii="Times New Roman" w:hAnsi="Times New Roman" w:eastAsia="Times New Roman" w:cs="Times New Roman"/>
                <w:lang w:val="en-US" w:eastAsia="tr-TR"/>
              </w:rPr>
            </w:pP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32.9 ± 0.1</w:t>
            </w:r>
          </w:p>
          <w:p>
            <w:pPr>
              <w:spacing w:after="0" w:line="240" w:lineRule="auto"/>
              <w:ind w:firstLine="220" w:firstLineChars="100"/>
              <w:jc w:val="both"/>
              <w:rPr>
                <w:rFonts w:ascii="Times New Roman" w:hAnsi="Times New Roman" w:eastAsia="Times New Roman" w:cs="Times New Roman"/>
                <w:lang w:val="en-US" w:eastAsia="tr-TR"/>
              </w:rPr>
            </w:pP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4,4’-DDT</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36.8 ± 0.7</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35.6 ± 0.5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35.6 ± 0.2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35.6 ± 0.4</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35.6 ± 0.8</w:t>
            </w:r>
          </w:p>
        </w:tc>
      </w:tr>
      <w:tr>
        <w:tblPrEx>
          <w:tblLayout w:type="fixed"/>
          <w:tblCellMar>
            <w:top w:w="0" w:type="dxa"/>
            <w:left w:w="108" w:type="dxa"/>
            <w:bottom w:w="0" w:type="dxa"/>
            <w:right w:w="108" w:type="dxa"/>
          </w:tblCellMar>
        </w:tblPrEx>
        <w:trPr>
          <w:cantSplit/>
          <w:trHeight w:val="20" w:hRule="atLeast"/>
        </w:trPr>
        <w:tc>
          <w:tcPr>
            <w:tcW w:w="198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Endrin-ketone</w:t>
            </w:r>
          </w:p>
        </w:tc>
        <w:tc>
          <w:tcPr>
            <w:tcW w:w="1088" w:type="dxa"/>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33.1 ± 2.5</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28.8 ± 2.4</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28.9 ± 2.2</w:t>
            </w:r>
          </w:p>
        </w:tc>
        <w:tc>
          <w:tcPr>
            <w:tcW w:w="1243"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30.1 ± 2.1</w:t>
            </w:r>
          </w:p>
        </w:tc>
        <w:tc>
          <w:tcPr>
            <w:tcW w:w="1245" w:type="dxa"/>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29.7 ± 2.2</w:t>
            </w:r>
          </w:p>
        </w:tc>
      </w:tr>
      <w:tr>
        <w:tblPrEx>
          <w:tblLayout w:type="fixed"/>
          <w:tblCellMar>
            <w:top w:w="0" w:type="dxa"/>
            <w:left w:w="108" w:type="dxa"/>
            <w:bottom w:w="0" w:type="dxa"/>
            <w:right w:w="108" w:type="dxa"/>
          </w:tblCellMar>
        </w:tblPrEx>
        <w:trPr>
          <w:cantSplit/>
          <w:trHeight w:val="20" w:hRule="atLeast"/>
        </w:trPr>
        <w:tc>
          <w:tcPr>
            <w:tcW w:w="1983" w:type="dxa"/>
            <w:tcBorders>
              <w:bottom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lang w:val="en-US" w:eastAsia="tr-TR"/>
              </w:rPr>
              <w:t>Methoxychlor</w:t>
            </w:r>
          </w:p>
        </w:tc>
        <w:tc>
          <w:tcPr>
            <w:tcW w:w="1088" w:type="dxa"/>
            <w:tcBorders>
              <w:bottom w:val="single" w:color="auto" w:sz="4" w:space="0"/>
            </w:tcBorders>
          </w:tcPr>
          <w:p>
            <w:pPr>
              <w:spacing w:after="0" w:line="240" w:lineRule="auto"/>
              <w:ind w:firstLine="220" w:firstLineChars="100"/>
              <w:jc w:val="both"/>
              <w:rPr>
                <w:rFonts w:ascii="Times New Roman" w:hAnsi="Times New Roman" w:eastAsia="Times New Roman" w:cs="Times New Roman"/>
                <w:color w:val="000000"/>
                <w:lang w:val="en-US" w:eastAsia="tr-TR"/>
              </w:rPr>
            </w:pPr>
            <w:r>
              <w:rPr>
                <w:rFonts w:ascii="Times New Roman" w:hAnsi="Times New Roman" w:eastAsia="Times New Roman" w:cs="Times New Roman"/>
                <w:color w:val="000000"/>
                <w:lang w:val="en-US" w:eastAsia="tr-TR"/>
              </w:rPr>
              <w:t>0.1</w:t>
            </w:r>
          </w:p>
        </w:tc>
        <w:tc>
          <w:tcPr>
            <w:tcW w:w="1243" w:type="dxa"/>
            <w:tcBorders>
              <w:bottom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39.8 ± 0.1</w:t>
            </w:r>
          </w:p>
        </w:tc>
        <w:tc>
          <w:tcPr>
            <w:tcW w:w="1243" w:type="dxa"/>
            <w:tcBorders>
              <w:bottom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39.5 ± 0.2</w:t>
            </w:r>
          </w:p>
        </w:tc>
        <w:tc>
          <w:tcPr>
            <w:tcW w:w="1243" w:type="dxa"/>
            <w:tcBorders>
              <w:bottom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39.5 ± 0.2</w:t>
            </w:r>
          </w:p>
        </w:tc>
        <w:tc>
          <w:tcPr>
            <w:tcW w:w="1243" w:type="dxa"/>
            <w:tcBorders>
              <w:bottom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39.7 ± 0.1</w:t>
            </w:r>
          </w:p>
        </w:tc>
        <w:tc>
          <w:tcPr>
            <w:tcW w:w="1245" w:type="dxa"/>
            <w:tcBorders>
              <w:bottom w:val="single" w:color="auto" w:sz="4" w:space="0"/>
            </w:tcBorders>
            <w:shd w:val="clear" w:color="auto" w:fill="auto"/>
            <w:vAlign w:val="center"/>
          </w:tcPr>
          <w:p>
            <w:pPr>
              <w:spacing w:after="0" w:line="240" w:lineRule="auto"/>
              <w:ind w:firstLine="220" w:firstLineChars="100"/>
              <w:jc w:val="both"/>
              <w:rPr>
                <w:rFonts w:ascii="Times New Roman" w:hAnsi="Times New Roman" w:eastAsia="Times New Roman" w:cs="Times New Roman"/>
                <w:lang w:val="en-US" w:eastAsia="tr-TR"/>
              </w:rPr>
            </w:pPr>
            <w:r>
              <w:rPr>
                <w:rFonts w:ascii="Times New Roman" w:hAnsi="Times New Roman" w:eastAsia="Times New Roman" w:cs="Times New Roman"/>
                <w:color w:val="000000"/>
                <w:lang w:val="en-US" w:eastAsia="tr-TR"/>
              </w:rPr>
              <w:t>39.5 ± 0.1</w:t>
            </w:r>
          </w:p>
        </w:tc>
      </w:tr>
    </w:tbl>
    <w:p>
      <w:pPr>
        <w:spacing w:after="0" w:line="240" w:lineRule="auto"/>
        <w:ind w:firstLine="240" w:firstLineChars="100"/>
        <w:jc w:val="both"/>
        <w:rPr>
          <w:rFonts w:ascii="Times New Roman" w:hAnsi="Times New Roman" w:eastAsia="Times New Roman" w:cs="Times New Roman"/>
          <w:color w:val="000000"/>
          <w:sz w:val="24"/>
          <w:szCs w:val="24"/>
          <w:lang w:val="en-US" w:eastAsia="tr-TR"/>
        </w:rPr>
      </w:pPr>
      <w:r>
        <w:rPr>
          <w:rFonts w:ascii="Times New Roman" w:hAnsi="Times New Roman" w:eastAsia="Times New Roman" w:cs="Times New Roman"/>
          <w:b/>
          <w:color w:val="000000"/>
          <w:sz w:val="24"/>
          <w:szCs w:val="24"/>
          <w:lang w:val="en-US" w:eastAsia="tr-TR"/>
        </w:rPr>
        <w:t>Table 6</w:t>
      </w:r>
      <w:r>
        <w:rPr>
          <w:rFonts w:hint="eastAsia" w:ascii="Times New Roman" w:hAnsi="Times New Roman" w:eastAsia="宋体" w:cs="Times New Roman"/>
          <w:b/>
          <w:color w:val="000000"/>
          <w:sz w:val="24"/>
          <w:szCs w:val="24"/>
          <w:lang w:val="en-US" w:eastAsia="zh-CN"/>
        </w:rPr>
        <w:t>.</w:t>
      </w:r>
      <w:r>
        <w:rPr>
          <w:rFonts w:ascii="Times New Roman" w:hAnsi="Times New Roman" w:eastAsia="Times New Roman" w:cs="Times New Roman"/>
          <w:sz w:val="24"/>
          <w:szCs w:val="24"/>
          <w:lang w:val="en-US" w:eastAsia="tr-TR"/>
        </w:rPr>
        <w:t xml:space="preserve">Organochlorine pesticide concentrations </w:t>
      </w:r>
      <w:r>
        <w:rPr>
          <w:rFonts w:ascii="Times New Roman" w:hAnsi="Times New Roman" w:eastAsia="Times New Roman" w:cs="Times New Roman"/>
          <w:color w:val="000000"/>
          <w:sz w:val="24"/>
          <w:szCs w:val="24"/>
          <w:lang w:val="en-US" w:eastAsia="tr-TR"/>
        </w:rPr>
        <w:t>(µg/kg, dry weight)</w:t>
      </w:r>
      <w:r>
        <w:rPr>
          <w:rFonts w:ascii="Times New Roman" w:hAnsi="Times New Roman" w:eastAsia="Times New Roman" w:cs="Times New Roman"/>
          <w:sz w:val="24"/>
          <w:szCs w:val="24"/>
          <w:lang w:val="en-US" w:eastAsia="tr-TR"/>
        </w:rPr>
        <w:t xml:space="preserve"> in the leaves and flowers from linden trees and their MRL values (mg/kg).</w:t>
      </w:r>
      <w:r>
        <w:rPr>
          <w:rFonts w:ascii="Times New Roman" w:hAnsi="Times New Roman" w:eastAsia="Times New Roman" w:cs="Times New Roman"/>
          <w:color w:val="000000"/>
          <w:sz w:val="24"/>
          <w:szCs w:val="24"/>
          <w:lang w:val="en-US" w:eastAsia="tr-TR"/>
        </w:rPr>
        <w:t xml:space="preserve"> </w:t>
      </w:r>
    </w:p>
    <w:p>
      <w:pPr>
        <w:spacing w:before="360" w:after="120" w:line="240" w:lineRule="auto"/>
        <w:ind w:firstLine="0" w:firstLineChars="0"/>
        <w:jc w:val="both"/>
        <w:rPr>
          <w:rFonts w:ascii="Times New Roman" w:hAnsi="Times New Roman" w:cs="Times New Roman"/>
          <w:b/>
          <w:sz w:val="28"/>
          <w:szCs w:val="28"/>
          <w:lang w:val="en-US"/>
        </w:rPr>
      </w:pPr>
      <w:r>
        <w:rPr>
          <w:rFonts w:ascii="Times New Roman" w:hAnsi="Times New Roman" w:cs="Times New Roman"/>
          <w:b/>
          <w:sz w:val="28"/>
          <w:szCs w:val="28"/>
          <w:lang w:val="en-US"/>
        </w:rPr>
        <w:t>4. Conclusions</w:t>
      </w:r>
    </w:p>
    <w:p>
      <w:pPr>
        <w:spacing w:after="240" w:line="240" w:lineRule="auto"/>
        <w:ind w:firstLine="240" w:firstLineChars="1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work was achieved to obtain information about metal and organochloride pesticide concentrations in </w:t>
      </w:r>
      <w:r>
        <w:rPr>
          <w:rFonts w:ascii="Times New Roman" w:hAnsi="Times New Roman" w:eastAsia="Times New Roman" w:cs="Times New Roman"/>
          <w:sz w:val="24"/>
          <w:szCs w:val="24"/>
          <w:lang w:val="en-US" w:eastAsia="tr-TR"/>
        </w:rPr>
        <w:t>the leaves and flowers of linden trees in Kırklareli province. F</w:t>
      </w:r>
      <w:r>
        <w:rPr>
          <w:rFonts w:ascii="Times New Roman" w:hAnsi="Times New Roman" w:cs="Times New Roman"/>
          <w:sz w:val="24"/>
          <w:szCs w:val="24"/>
          <w:lang w:val="en-US"/>
        </w:rPr>
        <w:t xml:space="preserve">lame atomic absorption spectroscopy was used after the samples were dissolved with microwave method, and gas chromatography mass spectroscopy was utilized after the samples were prepared for analyses by using QuEChERS method. </w:t>
      </w:r>
      <w:r>
        <w:rPr>
          <w:rFonts w:ascii="Times New Roman" w:hAnsi="Times New Roman" w:eastAsia="Times New Roman" w:cs="Times New Roman"/>
          <w:sz w:val="24"/>
          <w:szCs w:val="24"/>
          <w:lang w:val="en-US" w:eastAsia="tr-TR"/>
        </w:rPr>
        <w:t xml:space="preserve">Heavy metal concentrations in the linden samples collected from urban settlements with high traffic densities were usually determined to be higher than those in the linden samples collected from rural areas. Also, the concentrations of organochloride pesticides in samples were usually determined to be lower than their </w:t>
      </w:r>
      <w:r>
        <w:rPr>
          <w:rFonts w:ascii="Times New Roman" w:hAnsi="Times New Roman" w:cs="Times New Roman"/>
          <w:sz w:val="24"/>
          <w:szCs w:val="24"/>
          <w:lang w:val="en-US"/>
        </w:rPr>
        <w:t>maximum residue level values, but Endrin and Endrin-aldheyde concentrations in the samples collected from region 5 were detected to be 1.5-2 times higher than their MRLs.</w:t>
      </w:r>
    </w:p>
    <w:p>
      <w:pPr>
        <w:spacing w:before="360" w:after="120" w:line="240" w:lineRule="auto"/>
        <w:ind w:firstLine="280" w:firstLineChars="100"/>
        <w:jc w:val="both"/>
        <w:rPr>
          <w:rFonts w:ascii="Times New Roman" w:hAnsi="Times New Roman" w:cs="Times New Roman"/>
          <w:b/>
          <w:sz w:val="28"/>
          <w:szCs w:val="28"/>
          <w:lang w:val="en-US"/>
        </w:rPr>
      </w:pPr>
      <w:r>
        <w:rPr>
          <w:rFonts w:ascii="Times New Roman" w:hAnsi="Times New Roman" w:cs="Times New Roman"/>
          <w:b/>
          <w:sz w:val="28"/>
          <w:szCs w:val="28"/>
          <w:lang w:val="en-US"/>
        </w:rPr>
        <w:t>Acknowledgements</w:t>
      </w:r>
    </w:p>
    <w:p>
      <w:pPr>
        <w:spacing w:line="240" w:lineRule="auto"/>
        <w:ind w:firstLine="240" w:firstLineChars="100"/>
        <w:jc w:val="both"/>
        <w:rPr>
          <w:lang w:val="en-US"/>
        </w:rPr>
      </w:pPr>
      <w:r>
        <w:rPr>
          <w:rFonts w:ascii="Times New Roman" w:hAnsi="Times New Roman" w:cs="Times New Roman"/>
          <w:sz w:val="24"/>
          <w:szCs w:val="24"/>
          <w:lang w:val="en-US"/>
        </w:rPr>
        <w:t xml:space="preserve">We appreciate Kırklareli University because of its support and permission us to use devices, such as FAAS, GC-MS, microwave oven, etc. in the central laboratory, and we thank to Kırklareli University Research Fund for its financial supports under the project number of KLÜBAP/092. </w:t>
      </w:r>
    </w:p>
    <w:p>
      <w:pPr>
        <w:spacing w:after="0" w:line="240" w:lineRule="auto"/>
        <w:ind w:firstLine="240" w:firstLineChars="100"/>
        <w:jc w:val="both"/>
        <w:rPr>
          <w:rFonts w:ascii="Times New Roman" w:hAnsi="Times New Roman" w:cs="Times New Roman"/>
          <w:sz w:val="24"/>
          <w:szCs w:val="24"/>
          <w:lang w:val="en-US"/>
        </w:rPr>
      </w:pPr>
    </w:p>
    <w:p>
      <w:pPr>
        <w:spacing w:after="0" w:line="240" w:lineRule="auto"/>
        <w:ind w:firstLine="0" w:firstLineChars="0"/>
        <w:jc w:val="both"/>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Pr>
          <w:rFonts w:ascii="Times New Roman" w:hAnsi="Times New Roman" w:cs="Times New Roman"/>
          <w:sz w:val="24"/>
          <w:szCs w:val="24"/>
          <w:lang w:val="en-US"/>
        </w:rPr>
        <w:t>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Okcu, E</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Tozlu, AM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Kumlay,</w:t>
      </w:r>
      <w:r>
        <w:rPr>
          <w:rFonts w:hint="eastAsia" w:ascii="Times New Roman" w:hAnsi="Times New Roman" w:cs="Times New Roman"/>
          <w:i/>
          <w:iCs/>
          <w:sz w:val="24"/>
          <w:szCs w:val="24"/>
          <w:lang w:val="en-US"/>
        </w:rPr>
        <w:t>et al</w:t>
      </w:r>
      <w:r>
        <w:rPr>
          <w:rFonts w:hint="eastAsia" w:ascii="Times New Roman" w:hAnsi="Times New Roman" w:eastAsia="宋体" w:cs="Times New Roman"/>
          <w:i/>
          <w:iCs/>
          <w:sz w:val="24"/>
          <w:szCs w:val="24"/>
          <w:lang w:val="en-US" w:eastAsia="zh-CN"/>
        </w:rPr>
        <w:t>.</w:t>
      </w:r>
      <w:r>
        <w:rPr>
          <w:rFonts w:ascii="Times New Roman" w:hAnsi="Times New Roman" w:cs="Times New Roman"/>
          <w:sz w:val="24"/>
          <w:szCs w:val="24"/>
          <w:lang w:val="en-US"/>
        </w:rPr>
        <w:t xml:space="preserve"> Alınteri 17 (2009) 14-26.</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Pr>
          <w:rFonts w:ascii="Times New Roman" w:hAnsi="Times New Roman" w:cs="Times New Roman"/>
          <w:sz w:val="24"/>
          <w:szCs w:val="24"/>
          <w:lang w:val="en-US"/>
        </w:rPr>
        <w:t>A</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Alvarez, JM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Saez, JS</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 xml:space="preserve">Davila Costa, </w:t>
      </w:r>
      <w:r>
        <w:rPr>
          <w:rFonts w:hint="eastAsia" w:ascii="Times New Roman" w:hAnsi="Times New Roman" w:cs="Times New Roman"/>
          <w:i/>
          <w:iCs/>
          <w:sz w:val="24"/>
          <w:szCs w:val="24"/>
          <w:lang w:val="en-US"/>
        </w:rPr>
        <w:t>et al</w:t>
      </w:r>
      <w:r>
        <w:rPr>
          <w:rFonts w:hint="eastAsia" w:ascii="Times New Roman" w:hAnsi="Times New Roman" w:eastAsia="宋体" w:cs="Times New Roman"/>
          <w:i/>
          <w:iCs/>
          <w:sz w:val="24"/>
          <w:szCs w:val="24"/>
          <w:lang w:val="en-US" w:eastAsia="zh-CN"/>
        </w:rPr>
        <w:t>.</w:t>
      </w:r>
      <w:r>
        <w:rPr>
          <w:rFonts w:ascii="Times New Roman" w:hAnsi="Times New Roman" w:cs="Times New Roman"/>
          <w:sz w:val="24"/>
          <w:szCs w:val="24"/>
          <w:lang w:val="en-US"/>
        </w:rPr>
        <w:t xml:space="preserve"> Chemosphere 166 (2017) 41-62.</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LS</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Kjeldsen, 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Ghisari, EC</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 xml:space="preserve">Bonefeld-Jorgesen, </w:t>
      </w:r>
      <w:r>
        <w:rPr>
          <w:rFonts w:hint="eastAsia" w:ascii="Times New Roman" w:hAnsi="Times New Roman" w:cs="Times New Roman"/>
          <w:i/>
          <w:iCs/>
          <w:sz w:val="24"/>
          <w:szCs w:val="24"/>
          <w:lang w:val="en-US"/>
        </w:rPr>
        <w:t>et al</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lang w:val="en-US"/>
        </w:rPr>
        <w:t>. Appl. Pharma. 272 (2013) 453-464.</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Pr>
          <w:rFonts w:ascii="Times New Roman" w:hAnsi="Times New Roman" w:cs="Times New Roman"/>
          <w:sz w:val="24"/>
          <w:szCs w:val="24"/>
          <w:lang w:val="en-US"/>
        </w:rPr>
        <w:t>S</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Ozcan, ME</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Aydin, Atmospher. Resear. 93 (2009) 715-722.</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Pr>
          <w:rFonts w:ascii="Times New Roman" w:hAnsi="Times New Roman" w:cs="Times New Roman"/>
          <w:sz w:val="24"/>
          <w:szCs w:val="24"/>
          <w:lang w:val="en-US"/>
        </w:rPr>
        <w:t>N</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Abdelouahab, D</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Mergler, L</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 xml:space="preserve">Takser,  </w:t>
      </w:r>
      <w:r>
        <w:rPr>
          <w:rFonts w:hint="eastAsia" w:ascii="Times New Roman" w:hAnsi="Times New Roman" w:cs="Times New Roman"/>
          <w:i/>
          <w:iCs/>
          <w:sz w:val="24"/>
          <w:szCs w:val="24"/>
          <w:lang w:val="en-US"/>
        </w:rPr>
        <w:t>et al</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Environ. Res. 107 (2008) 380-392.</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Pr>
          <w:rFonts w:ascii="Times New Roman" w:hAnsi="Times New Roman" w:cs="Times New Roman"/>
          <w:sz w:val="24"/>
          <w:szCs w:val="24"/>
          <w:lang w:val="en-US"/>
        </w:rPr>
        <w:t>H</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Avci, 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Yaman, Water air soil pollut. 225 (2014) 1926.</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Pr>
          <w:rFonts w:ascii="Times New Roman" w:hAnsi="Times New Roman" w:cs="Times New Roman"/>
          <w:sz w:val="24"/>
          <w:szCs w:val="24"/>
          <w:lang w:val="en-US"/>
        </w:rPr>
        <w:t>W</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Mertz, Trace Elements in Human and Animal Nutrition, 5th ed., Academic Press, Newyork, 2012.</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r>
      <w:r>
        <w:rPr>
          <w:rFonts w:ascii="Times New Roman" w:hAnsi="Times New Roman" w:cs="Times New Roman"/>
          <w:sz w:val="24"/>
          <w:szCs w:val="24"/>
          <w:lang w:val="en-US"/>
        </w:rPr>
        <w:t>G</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Thorvaldsson, Essential Trace Elements for Plants, Animals and Humans, ISSN 1670-5785, Agricultural University of Iceland, 2005.</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lang w:val="en-US"/>
        </w:rPr>
        <w:t>WHO (World Health Organization), Fifty-Third report of the Joint FAO/WHO Expert Committee on Food Additives, WHO Technical Report Series 896, Geneva, Switzerland, 2000.</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r>
      <w:r>
        <w:rPr>
          <w:rFonts w:ascii="Times New Roman" w:hAnsi="Times New Roman" w:cs="Times New Roman"/>
          <w:sz w:val="24"/>
          <w:szCs w:val="24"/>
          <w:lang w:val="en-US"/>
        </w:rPr>
        <w:t>B</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Eugenio Figueroa, Sci. Total Environ. 389 (2008) 1-9.</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lang w:val="en-US"/>
        </w:rPr>
        <w:tab/>
      </w:r>
      <w:r>
        <w:rPr>
          <w:rFonts w:ascii="Times New Roman" w:hAnsi="Times New Roman" w:cs="Times New Roman"/>
          <w:sz w:val="24"/>
          <w:szCs w:val="24"/>
          <w:lang w:val="en-US"/>
        </w:rPr>
        <w:t>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Andac, R</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Say, A</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 xml:space="preserve">Denizli, </w:t>
      </w:r>
      <w:r>
        <w:rPr>
          <w:rFonts w:hint="eastAsia" w:ascii="Times New Roman" w:hAnsi="Times New Roman" w:cs="Times New Roman"/>
          <w:i/>
          <w:iCs/>
          <w:sz w:val="24"/>
          <w:szCs w:val="24"/>
          <w:lang w:val="en-US"/>
        </w:rPr>
        <w:t>et al</w:t>
      </w:r>
      <w:r>
        <w:rPr>
          <w:rFonts w:ascii="Times New Roman" w:hAnsi="Times New Roman" w:cs="Times New Roman"/>
          <w:sz w:val="24"/>
          <w:szCs w:val="24"/>
          <w:lang w:val="en-US"/>
        </w:rPr>
        <w:t>. 811 (2004) 119-126.</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lang w:val="en-US"/>
        </w:rPr>
        <w:tab/>
      </w:r>
      <w:r>
        <w:rPr>
          <w:rFonts w:ascii="Times New Roman" w:hAnsi="Times New Roman" w:cs="Times New Roman"/>
          <w:sz w:val="24"/>
          <w:szCs w:val="24"/>
          <w:lang w:val="en-US"/>
        </w:rPr>
        <w:t>Stanley E Manahan, Environmental Science, Technology, and Chemistry, Environmental Chemistry, Boca Raton: CRC Press LLC, 2000.</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r>
        <w:rPr>
          <w:rFonts w:ascii="Times New Roman" w:hAnsi="Times New Roman" w:cs="Times New Roman"/>
          <w:sz w:val="24"/>
          <w:szCs w:val="24"/>
          <w:lang w:val="en-US"/>
        </w:rPr>
        <w:tab/>
      </w:r>
      <w:r>
        <w:rPr>
          <w:rFonts w:ascii="Times New Roman" w:hAnsi="Times New Roman" w:cs="Times New Roman"/>
          <w:sz w:val="24"/>
          <w:szCs w:val="24"/>
          <w:lang w:val="en-US"/>
        </w:rPr>
        <w:t>MP</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Waalkes, Mutat. Resear. 533 (2003) 107-120.</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14.</w:t>
      </w:r>
      <w:r>
        <w:rPr>
          <w:rFonts w:ascii="Times New Roman" w:hAnsi="Times New Roman" w:cs="Times New Roman"/>
          <w:sz w:val="24"/>
          <w:szCs w:val="24"/>
          <w:lang w:val="en-US"/>
        </w:rPr>
        <w:tab/>
      </w:r>
      <w:r>
        <w:rPr>
          <w:rFonts w:ascii="Times New Roman" w:hAnsi="Times New Roman" w:cs="Times New Roman"/>
          <w:sz w:val="24"/>
          <w:szCs w:val="24"/>
          <w:lang w:val="en-US"/>
        </w:rPr>
        <w:t>IARC, Chromium, nickel and welding, IARC Monographs on the Evaluation of Carcinogenic Risks to Humans, vol. 49, Lyon, France, 1990.</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lang w:val="en-US"/>
        </w:rPr>
        <w:tab/>
      </w:r>
      <w:r>
        <w:rPr>
          <w:rFonts w:ascii="Times New Roman" w:hAnsi="Times New Roman" w:cs="Times New Roman"/>
          <w:sz w:val="24"/>
          <w:szCs w:val="24"/>
          <w:lang w:val="en-US"/>
        </w:rPr>
        <w:t>WHO (World Health Organization), Sixty-Third Report Of The Joint Fao/Who Expert Committee On Food Additives, WHO Technical Report Series 928, Geneva, Switzerland, 2005.</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16.</w:t>
      </w:r>
      <w:r>
        <w:rPr>
          <w:rFonts w:ascii="Times New Roman" w:hAnsi="Times New Roman" w:cs="Times New Roman"/>
          <w:sz w:val="24"/>
          <w:szCs w:val="24"/>
          <w:lang w:val="en-US"/>
        </w:rPr>
        <w:tab/>
      </w:r>
      <w:r>
        <w:rPr>
          <w:rFonts w:ascii="Times New Roman" w:hAnsi="Times New Roman" w:cs="Times New Roman"/>
          <w:sz w:val="24"/>
          <w:szCs w:val="24"/>
          <w:lang w:val="en-US"/>
        </w:rPr>
        <w:t>WHO (World Health Organization), Trace Elements in Human Nutrition and Health, WHO Library Cataloguing in Publication Data, Geneva, 1996.</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lang w:val="en-US"/>
        </w:rPr>
        <w:tab/>
      </w:r>
      <w:r>
        <w:rPr>
          <w:rFonts w:ascii="Times New Roman" w:hAnsi="Times New Roman" w:cs="Times New Roman"/>
          <w:sz w:val="24"/>
          <w:szCs w:val="24"/>
          <w:lang w:val="en-US"/>
        </w:rPr>
        <w:t>L</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 xml:space="preserve"> Patrick, Alternat. Med. Rev. 11 (2006) 114-127.</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r>
        <w:rPr>
          <w:rFonts w:ascii="Times New Roman" w:hAnsi="Times New Roman" w:cs="Times New Roman"/>
          <w:sz w:val="24"/>
          <w:szCs w:val="24"/>
          <w:lang w:val="en-US"/>
        </w:rPr>
        <w:tab/>
      </w:r>
      <w:r>
        <w:rPr>
          <w:rFonts w:ascii="Times New Roman" w:hAnsi="Times New Roman" w:cs="Times New Roman"/>
          <w:sz w:val="24"/>
          <w:szCs w:val="24"/>
          <w:lang w:val="en-US"/>
        </w:rPr>
        <w:t>I</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Narin, M Soylak, Analyt. Chimica Acta 493 (2003) 205-212.</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r>
        <w:rPr>
          <w:rFonts w:ascii="Times New Roman" w:hAnsi="Times New Roman" w:cs="Times New Roman"/>
          <w:sz w:val="24"/>
          <w:szCs w:val="24"/>
          <w:lang w:val="en-US"/>
        </w:rPr>
        <w:tab/>
      </w:r>
      <w:r>
        <w:rPr>
          <w:rFonts w:ascii="Times New Roman" w:hAnsi="Times New Roman" w:cs="Times New Roman"/>
          <w:sz w:val="24"/>
          <w:szCs w:val="24"/>
          <w:lang w:val="en-US"/>
        </w:rPr>
        <w:t>N</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Vural, Ankara Üniversitesi Eczacılık Fakültesi Yayınları 73 (2005) 342 -363.</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lang w:val="en-US"/>
        </w:rPr>
        <w:tab/>
      </w:r>
      <w:r>
        <w:rPr>
          <w:rFonts w:ascii="Times New Roman" w:hAnsi="Times New Roman" w:cs="Times New Roman"/>
          <w:sz w:val="24"/>
          <w:szCs w:val="24"/>
          <w:lang w:val="en-US"/>
        </w:rPr>
        <w:t>O</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Erkmen, Çocuk Sağlığı ve Hastalıkları Dergisi 53 (2010) 220-235.</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21.</w:t>
      </w:r>
      <w:r>
        <w:rPr>
          <w:rFonts w:ascii="Times New Roman" w:hAnsi="Times New Roman" w:cs="Times New Roman"/>
          <w:sz w:val="24"/>
          <w:szCs w:val="24"/>
          <w:lang w:val="en-US"/>
        </w:rPr>
        <w:tab/>
      </w:r>
      <w:r>
        <w:rPr>
          <w:rFonts w:ascii="Times New Roman" w:hAnsi="Times New Roman" w:cs="Times New Roman"/>
          <w:sz w:val="24"/>
          <w:szCs w:val="24"/>
          <w:lang w:val="en-US"/>
        </w:rPr>
        <w:t>LM</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Nollet, Organochlorine pesticides: Hand Book of Water Analysis CRC Press, 2000, p. 520-522.</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22.</w:t>
      </w:r>
      <w:r>
        <w:rPr>
          <w:rFonts w:ascii="Times New Roman" w:hAnsi="Times New Roman" w:cs="Times New Roman"/>
          <w:sz w:val="24"/>
          <w:szCs w:val="24"/>
          <w:lang w:val="en-US"/>
        </w:rPr>
        <w:tab/>
      </w:r>
      <w:r>
        <w:rPr>
          <w:rFonts w:ascii="Times New Roman" w:hAnsi="Times New Roman" w:cs="Times New Roman"/>
          <w:sz w:val="24"/>
          <w:szCs w:val="24"/>
          <w:lang w:val="en-US"/>
        </w:rPr>
        <w:t>WHO, Environmental Health Criteria 240, Principles and methods for the risk assessment of chemicals in food, ISBN 978 92 4 157240 8, Germany, 2009.</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lang w:val="en-US"/>
        </w:rPr>
        <w:tab/>
      </w:r>
      <w:r>
        <w:rPr>
          <w:rFonts w:ascii="Times New Roman" w:hAnsi="Times New Roman" w:cs="Times New Roman"/>
          <w:sz w:val="24"/>
          <w:szCs w:val="24"/>
          <w:lang w:val="en-US"/>
        </w:rPr>
        <w:t>WHO, Guidelines for assessing quality of herbal medicines with reference to contaminants and residues, ISBN 978 92 4 159444 8, Switzerland, 2007.</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lang w:val="en-US"/>
        </w:rPr>
        <w:tab/>
      </w:r>
      <w:r>
        <w:rPr>
          <w:rFonts w:ascii="Times New Roman" w:hAnsi="Times New Roman" w:cs="Times New Roman"/>
          <w:sz w:val="24"/>
          <w:szCs w:val="24"/>
          <w:lang w:val="en-US"/>
        </w:rPr>
        <w:t>WHO, Guidelines for Predicting Dietary Intake of Pesticide Residues (revised), WHO/FSF/FOS/97.7, Geneva, Switzerland, 1997.</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25.</w:t>
      </w:r>
      <w:r>
        <w:rPr>
          <w:rFonts w:ascii="Times New Roman" w:hAnsi="Times New Roman" w:cs="Times New Roman"/>
          <w:sz w:val="24"/>
          <w:szCs w:val="24"/>
          <w:lang w:val="en-US"/>
        </w:rPr>
        <w:tab/>
      </w:r>
      <w:r>
        <w:rPr>
          <w:rFonts w:ascii="Times New Roman" w:hAnsi="Times New Roman" w:cs="Times New Roman"/>
          <w:sz w:val="24"/>
          <w:szCs w:val="24"/>
          <w:lang w:val="en-US"/>
        </w:rPr>
        <w:t>WHO, Application of Risk Analysis to Food Standards Issues, Report of the Joint FAO/WHO Expert Consultation, WHO/FNU/FOS/95.3, Geneva, Switzerland, 1995.</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w:t>
      </w:r>
      <w:r>
        <w:rPr>
          <w:rFonts w:ascii="Times New Roman" w:hAnsi="Times New Roman" w:cs="Times New Roman"/>
          <w:sz w:val="24"/>
          <w:szCs w:val="24"/>
          <w:lang w:val="en-US"/>
        </w:rPr>
        <w:tab/>
      </w:r>
      <w:r>
        <w:rPr>
          <w:rFonts w:ascii="Times New Roman" w:hAnsi="Times New Roman" w:cs="Times New Roman"/>
          <w:sz w:val="24"/>
          <w:szCs w:val="24"/>
          <w:lang w:val="en-US"/>
        </w:rPr>
        <w:t>J</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Jurewicz, W</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Hanke, Internat</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J. Occup. Neurobeh. Develop. 21 (2008) 121-132.</w:t>
      </w:r>
    </w:p>
    <w:p>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lang w:val="en-US"/>
        </w:rPr>
        <w:tab/>
      </w:r>
      <w:r>
        <w:rPr>
          <w:rFonts w:ascii="Times New Roman" w:hAnsi="Times New Roman" w:cs="Times New Roman"/>
          <w:sz w:val="24"/>
          <w:szCs w:val="24"/>
          <w:lang w:val="en-US"/>
        </w:rPr>
        <w:t>O</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Munzuroglu, N</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Gur, Turk J Biol. 24 (2000) 677-684.</w:t>
      </w:r>
    </w:p>
    <w:p>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28.</w:t>
      </w:r>
      <w:r>
        <w:rPr>
          <w:rFonts w:ascii="Times New Roman" w:hAnsi="Times New Roman" w:cs="Times New Roman"/>
          <w:sz w:val="24"/>
          <w:szCs w:val="24"/>
          <w:lang w:val="en-US"/>
        </w:rPr>
        <w:tab/>
      </w:r>
      <w:r>
        <w:rPr>
          <w:rFonts w:ascii="Times New Roman" w:hAnsi="Times New Roman" w:cs="Times New Roman"/>
          <w:sz w:val="24"/>
          <w:szCs w:val="24"/>
          <w:lang w:val="en-US"/>
        </w:rPr>
        <w:t>Turkish Food Codex, Türk gıda kodeksi pestisitlerin maksimum kalıntı limitleri yönetmeliği, 2016, T.C. Resmi Gazete, 29899, 25.11.2016.</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86"/>
    <w:family w:val="swiss"/>
    <w:pitch w:val="default"/>
    <w:sig w:usb0="00000000" w:usb1="00000000" w:usb2="00000001" w:usb3="00000000" w:csb0="0000019F" w:csb1="00000000"/>
  </w:font>
  <w:font w:name="Calibri">
    <w:altName w:val="Lucida Sans"/>
    <w:panose1 w:val="020F0502020204030204"/>
    <w:charset w:val="86"/>
    <w:family w:val="swiss"/>
    <w:pitch w:val="default"/>
    <w:sig w:usb0="00000000" w:usb1="00000000" w:usb2="00000001" w:usb3="00000000" w:csb0="0000019F" w:csb1="00000000"/>
  </w:font>
  <w:font w:name="Calibri">
    <w:altName w:val="Lucida Sans"/>
    <w:panose1 w:val="00000000000000000000"/>
    <w:charset w:val="00"/>
    <w:family w:val="auto"/>
    <w:pitch w:val="default"/>
    <w:sig w:usb0="00000000" w:usb1="00000000" w:usb2="00000000" w:usb3="00000000" w:csb0="00000000" w:csb1="00000000"/>
  </w:font>
  <w:font w:name="Tahoma">
    <w:panose1 w:val="020B0604030504040204"/>
    <w:charset w:val="A2"/>
    <w:family w:val="swiss"/>
    <w:pitch w:val="default"/>
    <w:sig w:usb0="61007A87" w:usb1="80000000" w:usb2="00000008" w:usb3="00000000" w:csb0="200101FF" w:csb1="2028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trackRevisions w:val="1"/>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E6"/>
    <w:rsid w:val="00013195"/>
    <w:rsid w:val="0002143E"/>
    <w:rsid w:val="00021F96"/>
    <w:rsid w:val="000228B9"/>
    <w:rsid w:val="00043473"/>
    <w:rsid w:val="00043EC3"/>
    <w:rsid w:val="00044411"/>
    <w:rsid w:val="0004450B"/>
    <w:rsid w:val="000449D2"/>
    <w:rsid w:val="00044BBD"/>
    <w:rsid w:val="00050EDB"/>
    <w:rsid w:val="0005210A"/>
    <w:rsid w:val="000545E8"/>
    <w:rsid w:val="00055C4A"/>
    <w:rsid w:val="000636DF"/>
    <w:rsid w:val="00064C24"/>
    <w:rsid w:val="00075BA6"/>
    <w:rsid w:val="000872CD"/>
    <w:rsid w:val="0009141B"/>
    <w:rsid w:val="0009492D"/>
    <w:rsid w:val="00097D25"/>
    <w:rsid w:val="000A5EEE"/>
    <w:rsid w:val="000B6E4A"/>
    <w:rsid w:val="000D1594"/>
    <w:rsid w:val="000E4281"/>
    <w:rsid w:val="000E59F5"/>
    <w:rsid w:val="000F192F"/>
    <w:rsid w:val="000F1F3E"/>
    <w:rsid w:val="000F4874"/>
    <w:rsid w:val="001004A3"/>
    <w:rsid w:val="00101E68"/>
    <w:rsid w:val="00102DF0"/>
    <w:rsid w:val="001035A3"/>
    <w:rsid w:val="001140BC"/>
    <w:rsid w:val="001153FA"/>
    <w:rsid w:val="00122C55"/>
    <w:rsid w:val="0012716B"/>
    <w:rsid w:val="00140EF0"/>
    <w:rsid w:val="001416B2"/>
    <w:rsid w:val="0014560B"/>
    <w:rsid w:val="001461F6"/>
    <w:rsid w:val="00155C94"/>
    <w:rsid w:val="001639FD"/>
    <w:rsid w:val="00173C5C"/>
    <w:rsid w:val="00173DE2"/>
    <w:rsid w:val="00175B0F"/>
    <w:rsid w:val="00181013"/>
    <w:rsid w:val="001842BB"/>
    <w:rsid w:val="00186B34"/>
    <w:rsid w:val="00191506"/>
    <w:rsid w:val="001A0254"/>
    <w:rsid w:val="001B1244"/>
    <w:rsid w:val="001C0E16"/>
    <w:rsid w:val="001C3A86"/>
    <w:rsid w:val="001D333A"/>
    <w:rsid w:val="001F33E4"/>
    <w:rsid w:val="001F5538"/>
    <w:rsid w:val="00201EC9"/>
    <w:rsid w:val="00204729"/>
    <w:rsid w:val="00204F3B"/>
    <w:rsid w:val="0021210D"/>
    <w:rsid w:val="00212A82"/>
    <w:rsid w:val="0022379C"/>
    <w:rsid w:val="002605B1"/>
    <w:rsid w:val="00261648"/>
    <w:rsid w:val="00262DE2"/>
    <w:rsid w:val="00265BC1"/>
    <w:rsid w:val="00267F14"/>
    <w:rsid w:val="0027703C"/>
    <w:rsid w:val="00280338"/>
    <w:rsid w:val="00290676"/>
    <w:rsid w:val="00292B26"/>
    <w:rsid w:val="0029496B"/>
    <w:rsid w:val="00296340"/>
    <w:rsid w:val="002A5285"/>
    <w:rsid w:val="002A5982"/>
    <w:rsid w:val="002B7B68"/>
    <w:rsid w:val="002C0F5E"/>
    <w:rsid w:val="002C2769"/>
    <w:rsid w:val="002C2E12"/>
    <w:rsid w:val="002C31CF"/>
    <w:rsid w:val="002C35E2"/>
    <w:rsid w:val="002D660C"/>
    <w:rsid w:val="002E0800"/>
    <w:rsid w:val="002E278A"/>
    <w:rsid w:val="002E451E"/>
    <w:rsid w:val="002E6F15"/>
    <w:rsid w:val="002F7904"/>
    <w:rsid w:val="00300BBC"/>
    <w:rsid w:val="00301DA5"/>
    <w:rsid w:val="00304D6C"/>
    <w:rsid w:val="00323D12"/>
    <w:rsid w:val="00332FE9"/>
    <w:rsid w:val="0033513E"/>
    <w:rsid w:val="003359EC"/>
    <w:rsid w:val="003371F9"/>
    <w:rsid w:val="003401B3"/>
    <w:rsid w:val="00345780"/>
    <w:rsid w:val="003524E9"/>
    <w:rsid w:val="00355A6E"/>
    <w:rsid w:val="00364C98"/>
    <w:rsid w:val="00367753"/>
    <w:rsid w:val="00385AD0"/>
    <w:rsid w:val="00385FCA"/>
    <w:rsid w:val="00386286"/>
    <w:rsid w:val="003865ED"/>
    <w:rsid w:val="00392FBE"/>
    <w:rsid w:val="00393195"/>
    <w:rsid w:val="0039628B"/>
    <w:rsid w:val="003B0965"/>
    <w:rsid w:val="003B0D4F"/>
    <w:rsid w:val="003B61D0"/>
    <w:rsid w:val="003B6A01"/>
    <w:rsid w:val="003B706F"/>
    <w:rsid w:val="003B7A18"/>
    <w:rsid w:val="003C2246"/>
    <w:rsid w:val="003C31D0"/>
    <w:rsid w:val="003C3D35"/>
    <w:rsid w:val="003C5387"/>
    <w:rsid w:val="003C6AE2"/>
    <w:rsid w:val="003D2235"/>
    <w:rsid w:val="003D4F0C"/>
    <w:rsid w:val="003D6E6A"/>
    <w:rsid w:val="003E223D"/>
    <w:rsid w:val="003E3017"/>
    <w:rsid w:val="003E37D6"/>
    <w:rsid w:val="003E3CE6"/>
    <w:rsid w:val="003E4C17"/>
    <w:rsid w:val="003F4769"/>
    <w:rsid w:val="003F60DE"/>
    <w:rsid w:val="004100C9"/>
    <w:rsid w:val="00413A7B"/>
    <w:rsid w:val="0041763F"/>
    <w:rsid w:val="00424717"/>
    <w:rsid w:val="00427D51"/>
    <w:rsid w:val="00435E85"/>
    <w:rsid w:val="0044681C"/>
    <w:rsid w:val="00446E79"/>
    <w:rsid w:val="00460577"/>
    <w:rsid w:val="00460D89"/>
    <w:rsid w:val="004665DA"/>
    <w:rsid w:val="00475959"/>
    <w:rsid w:val="004811DC"/>
    <w:rsid w:val="00483730"/>
    <w:rsid w:val="004912B6"/>
    <w:rsid w:val="004A10A5"/>
    <w:rsid w:val="004A4127"/>
    <w:rsid w:val="004B04ED"/>
    <w:rsid w:val="004B3792"/>
    <w:rsid w:val="004B7403"/>
    <w:rsid w:val="004C08AB"/>
    <w:rsid w:val="004C3096"/>
    <w:rsid w:val="004C3C9F"/>
    <w:rsid w:val="004D269B"/>
    <w:rsid w:val="004D449E"/>
    <w:rsid w:val="004E038B"/>
    <w:rsid w:val="004F6474"/>
    <w:rsid w:val="004F6C48"/>
    <w:rsid w:val="005027E8"/>
    <w:rsid w:val="0050335F"/>
    <w:rsid w:val="0050366C"/>
    <w:rsid w:val="00503F47"/>
    <w:rsid w:val="00513528"/>
    <w:rsid w:val="00521916"/>
    <w:rsid w:val="00524F60"/>
    <w:rsid w:val="0052547C"/>
    <w:rsid w:val="00526002"/>
    <w:rsid w:val="0053138E"/>
    <w:rsid w:val="005353BA"/>
    <w:rsid w:val="005354B3"/>
    <w:rsid w:val="005371E9"/>
    <w:rsid w:val="00537979"/>
    <w:rsid w:val="005444BE"/>
    <w:rsid w:val="00553FB1"/>
    <w:rsid w:val="0056180C"/>
    <w:rsid w:val="00563969"/>
    <w:rsid w:val="005643CD"/>
    <w:rsid w:val="00584B3D"/>
    <w:rsid w:val="00584E07"/>
    <w:rsid w:val="005935D2"/>
    <w:rsid w:val="005978F1"/>
    <w:rsid w:val="005A4406"/>
    <w:rsid w:val="005A6891"/>
    <w:rsid w:val="005B0EAE"/>
    <w:rsid w:val="005B1A8F"/>
    <w:rsid w:val="005B6736"/>
    <w:rsid w:val="005B6E3C"/>
    <w:rsid w:val="005B7BCE"/>
    <w:rsid w:val="005B7D25"/>
    <w:rsid w:val="005C2C69"/>
    <w:rsid w:val="005E5A0D"/>
    <w:rsid w:val="005F4EF0"/>
    <w:rsid w:val="005F7CAB"/>
    <w:rsid w:val="00603B4C"/>
    <w:rsid w:val="00603BF3"/>
    <w:rsid w:val="00610DBD"/>
    <w:rsid w:val="00630FF8"/>
    <w:rsid w:val="00636E16"/>
    <w:rsid w:val="0064752F"/>
    <w:rsid w:val="006619B6"/>
    <w:rsid w:val="00675845"/>
    <w:rsid w:val="00676875"/>
    <w:rsid w:val="00677A0D"/>
    <w:rsid w:val="00691B22"/>
    <w:rsid w:val="006930DE"/>
    <w:rsid w:val="006971BD"/>
    <w:rsid w:val="006A2A24"/>
    <w:rsid w:val="006A4852"/>
    <w:rsid w:val="006A5F22"/>
    <w:rsid w:val="006B2147"/>
    <w:rsid w:val="006B3FB5"/>
    <w:rsid w:val="006C0030"/>
    <w:rsid w:val="006D4B13"/>
    <w:rsid w:val="006E3DCE"/>
    <w:rsid w:val="006F0133"/>
    <w:rsid w:val="006F1340"/>
    <w:rsid w:val="00702C87"/>
    <w:rsid w:val="0070396F"/>
    <w:rsid w:val="0070499D"/>
    <w:rsid w:val="007171A1"/>
    <w:rsid w:val="0073547C"/>
    <w:rsid w:val="00741404"/>
    <w:rsid w:val="00745ECE"/>
    <w:rsid w:val="00753584"/>
    <w:rsid w:val="00753EE6"/>
    <w:rsid w:val="00755F68"/>
    <w:rsid w:val="00762F61"/>
    <w:rsid w:val="0076379F"/>
    <w:rsid w:val="0076426C"/>
    <w:rsid w:val="00767AE1"/>
    <w:rsid w:val="00776BE9"/>
    <w:rsid w:val="007837D2"/>
    <w:rsid w:val="00784213"/>
    <w:rsid w:val="007A4F9C"/>
    <w:rsid w:val="007A55E8"/>
    <w:rsid w:val="007A7C77"/>
    <w:rsid w:val="007B4D66"/>
    <w:rsid w:val="007C0777"/>
    <w:rsid w:val="007C2C11"/>
    <w:rsid w:val="007C4662"/>
    <w:rsid w:val="007D5897"/>
    <w:rsid w:val="007E17ED"/>
    <w:rsid w:val="00824BAB"/>
    <w:rsid w:val="00850AEE"/>
    <w:rsid w:val="00852E61"/>
    <w:rsid w:val="00852E9C"/>
    <w:rsid w:val="0086001B"/>
    <w:rsid w:val="008679A3"/>
    <w:rsid w:val="008756EC"/>
    <w:rsid w:val="0087633B"/>
    <w:rsid w:val="00884BBA"/>
    <w:rsid w:val="00896B74"/>
    <w:rsid w:val="00897FF2"/>
    <w:rsid w:val="008A0DCB"/>
    <w:rsid w:val="008B5D92"/>
    <w:rsid w:val="008C1326"/>
    <w:rsid w:val="008C200D"/>
    <w:rsid w:val="008C66CE"/>
    <w:rsid w:val="008C6F7D"/>
    <w:rsid w:val="008C7595"/>
    <w:rsid w:val="008C78CC"/>
    <w:rsid w:val="008D6518"/>
    <w:rsid w:val="008D6F3D"/>
    <w:rsid w:val="008F2C3D"/>
    <w:rsid w:val="008F741D"/>
    <w:rsid w:val="009042C3"/>
    <w:rsid w:val="00913D09"/>
    <w:rsid w:val="00920048"/>
    <w:rsid w:val="00947B32"/>
    <w:rsid w:val="009631B9"/>
    <w:rsid w:val="009645E0"/>
    <w:rsid w:val="009676DB"/>
    <w:rsid w:val="00967D78"/>
    <w:rsid w:val="00981760"/>
    <w:rsid w:val="00982E17"/>
    <w:rsid w:val="00983105"/>
    <w:rsid w:val="009854E1"/>
    <w:rsid w:val="00986E74"/>
    <w:rsid w:val="0099001D"/>
    <w:rsid w:val="009A0064"/>
    <w:rsid w:val="009A7ACA"/>
    <w:rsid w:val="009C01AB"/>
    <w:rsid w:val="009D0F7E"/>
    <w:rsid w:val="009D492B"/>
    <w:rsid w:val="009D752D"/>
    <w:rsid w:val="009D7ED6"/>
    <w:rsid w:val="009E0E8C"/>
    <w:rsid w:val="009E12FE"/>
    <w:rsid w:val="009E376C"/>
    <w:rsid w:val="009E471E"/>
    <w:rsid w:val="009E5151"/>
    <w:rsid w:val="009E5211"/>
    <w:rsid w:val="009F2593"/>
    <w:rsid w:val="00A02EFB"/>
    <w:rsid w:val="00A05DE2"/>
    <w:rsid w:val="00A10CA5"/>
    <w:rsid w:val="00A11DD8"/>
    <w:rsid w:val="00A27C5A"/>
    <w:rsid w:val="00A33187"/>
    <w:rsid w:val="00A352FB"/>
    <w:rsid w:val="00A35302"/>
    <w:rsid w:val="00A52F36"/>
    <w:rsid w:val="00A67DC0"/>
    <w:rsid w:val="00A82D20"/>
    <w:rsid w:val="00A84AA2"/>
    <w:rsid w:val="00AA480E"/>
    <w:rsid w:val="00AA6EC6"/>
    <w:rsid w:val="00AB45C7"/>
    <w:rsid w:val="00AC5259"/>
    <w:rsid w:val="00AC6FA6"/>
    <w:rsid w:val="00AC7E84"/>
    <w:rsid w:val="00AD3C9A"/>
    <w:rsid w:val="00AD4776"/>
    <w:rsid w:val="00AE03A8"/>
    <w:rsid w:val="00AE4167"/>
    <w:rsid w:val="00AE46E8"/>
    <w:rsid w:val="00AF1287"/>
    <w:rsid w:val="00AF2004"/>
    <w:rsid w:val="00AF31CF"/>
    <w:rsid w:val="00AF6859"/>
    <w:rsid w:val="00B05F3F"/>
    <w:rsid w:val="00B154C7"/>
    <w:rsid w:val="00B27D09"/>
    <w:rsid w:val="00B335CF"/>
    <w:rsid w:val="00B4340E"/>
    <w:rsid w:val="00B47842"/>
    <w:rsid w:val="00B50AFC"/>
    <w:rsid w:val="00B52ABB"/>
    <w:rsid w:val="00B8470B"/>
    <w:rsid w:val="00B9100C"/>
    <w:rsid w:val="00B94465"/>
    <w:rsid w:val="00B956CC"/>
    <w:rsid w:val="00BA38D7"/>
    <w:rsid w:val="00BB028C"/>
    <w:rsid w:val="00BC0B07"/>
    <w:rsid w:val="00BC21EE"/>
    <w:rsid w:val="00BC78A7"/>
    <w:rsid w:val="00BD0B53"/>
    <w:rsid w:val="00BD5ED0"/>
    <w:rsid w:val="00BE280A"/>
    <w:rsid w:val="00BE43DB"/>
    <w:rsid w:val="00BE5B90"/>
    <w:rsid w:val="00BF24F2"/>
    <w:rsid w:val="00C03128"/>
    <w:rsid w:val="00C05BBD"/>
    <w:rsid w:val="00C12A52"/>
    <w:rsid w:val="00C1531B"/>
    <w:rsid w:val="00C15627"/>
    <w:rsid w:val="00C21302"/>
    <w:rsid w:val="00C21DCC"/>
    <w:rsid w:val="00C25653"/>
    <w:rsid w:val="00C262D3"/>
    <w:rsid w:val="00C26E5A"/>
    <w:rsid w:val="00C31453"/>
    <w:rsid w:val="00C37C46"/>
    <w:rsid w:val="00C46D5A"/>
    <w:rsid w:val="00C51BE3"/>
    <w:rsid w:val="00C55CD6"/>
    <w:rsid w:val="00C5784A"/>
    <w:rsid w:val="00C64E90"/>
    <w:rsid w:val="00C70D7D"/>
    <w:rsid w:val="00C7360B"/>
    <w:rsid w:val="00C74584"/>
    <w:rsid w:val="00C766A2"/>
    <w:rsid w:val="00C90215"/>
    <w:rsid w:val="00CA1704"/>
    <w:rsid w:val="00CA30E9"/>
    <w:rsid w:val="00CA53B2"/>
    <w:rsid w:val="00CA65FA"/>
    <w:rsid w:val="00CB5E66"/>
    <w:rsid w:val="00CC6B55"/>
    <w:rsid w:val="00CE6708"/>
    <w:rsid w:val="00CE7B47"/>
    <w:rsid w:val="00CF1869"/>
    <w:rsid w:val="00D00080"/>
    <w:rsid w:val="00D13FA0"/>
    <w:rsid w:val="00D140D2"/>
    <w:rsid w:val="00D150BC"/>
    <w:rsid w:val="00D171BA"/>
    <w:rsid w:val="00D200A0"/>
    <w:rsid w:val="00D2320E"/>
    <w:rsid w:val="00D26B01"/>
    <w:rsid w:val="00D31379"/>
    <w:rsid w:val="00D437DB"/>
    <w:rsid w:val="00D623CB"/>
    <w:rsid w:val="00D742C0"/>
    <w:rsid w:val="00D76BCF"/>
    <w:rsid w:val="00D83DC0"/>
    <w:rsid w:val="00D9047B"/>
    <w:rsid w:val="00D955B6"/>
    <w:rsid w:val="00D967D6"/>
    <w:rsid w:val="00DA0884"/>
    <w:rsid w:val="00DA3E94"/>
    <w:rsid w:val="00DA4458"/>
    <w:rsid w:val="00DA619F"/>
    <w:rsid w:val="00DB58FF"/>
    <w:rsid w:val="00DC0BB6"/>
    <w:rsid w:val="00DC682B"/>
    <w:rsid w:val="00DD122D"/>
    <w:rsid w:val="00DD15A2"/>
    <w:rsid w:val="00DD67FD"/>
    <w:rsid w:val="00DE080F"/>
    <w:rsid w:val="00DE19F2"/>
    <w:rsid w:val="00DE252B"/>
    <w:rsid w:val="00DE3BA8"/>
    <w:rsid w:val="00DF7DA4"/>
    <w:rsid w:val="00E03C02"/>
    <w:rsid w:val="00E11E59"/>
    <w:rsid w:val="00E147B0"/>
    <w:rsid w:val="00E175D6"/>
    <w:rsid w:val="00E207C7"/>
    <w:rsid w:val="00E2301E"/>
    <w:rsid w:val="00E24EF6"/>
    <w:rsid w:val="00E354B6"/>
    <w:rsid w:val="00E37614"/>
    <w:rsid w:val="00E4443F"/>
    <w:rsid w:val="00E457A8"/>
    <w:rsid w:val="00E56F7D"/>
    <w:rsid w:val="00E57103"/>
    <w:rsid w:val="00E57C93"/>
    <w:rsid w:val="00E61BA9"/>
    <w:rsid w:val="00E66DAA"/>
    <w:rsid w:val="00E81A18"/>
    <w:rsid w:val="00E846E3"/>
    <w:rsid w:val="00E84F61"/>
    <w:rsid w:val="00E94193"/>
    <w:rsid w:val="00E94E11"/>
    <w:rsid w:val="00E95525"/>
    <w:rsid w:val="00EB2FA3"/>
    <w:rsid w:val="00EC144A"/>
    <w:rsid w:val="00EC7644"/>
    <w:rsid w:val="00ED023A"/>
    <w:rsid w:val="00ED16B2"/>
    <w:rsid w:val="00ED18E0"/>
    <w:rsid w:val="00EE326E"/>
    <w:rsid w:val="00EF175A"/>
    <w:rsid w:val="00EF73C6"/>
    <w:rsid w:val="00F0407A"/>
    <w:rsid w:val="00F06A4B"/>
    <w:rsid w:val="00F07028"/>
    <w:rsid w:val="00F30FF9"/>
    <w:rsid w:val="00F374E9"/>
    <w:rsid w:val="00F40021"/>
    <w:rsid w:val="00F42D1F"/>
    <w:rsid w:val="00F5587A"/>
    <w:rsid w:val="00F62496"/>
    <w:rsid w:val="00F675A9"/>
    <w:rsid w:val="00F70D52"/>
    <w:rsid w:val="00F80036"/>
    <w:rsid w:val="00F83554"/>
    <w:rsid w:val="00F84BF4"/>
    <w:rsid w:val="00F90A8E"/>
    <w:rsid w:val="00F95E96"/>
    <w:rsid w:val="00F95EA7"/>
    <w:rsid w:val="00FB093F"/>
    <w:rsid w:val="00FC2A77"/>
    <w:rsid w:val="00FC5A04"/>
    <w:rsid w:val="00FC6A78"/>
    <w:rsid w:val="00FD74BB"/>
    <w:rsid w:val="00FE745E"/>
    <w:rsid w:val="34F77385"/>
    <w:rsid w:val="64990B57"/>
    <w:rsid w:val="6D594D1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lock Text"/>
    <w:basedOn w:val="1"/>
    <w:qFormat/>
    <w:uiPriority w:val="0"/>
    <w:pPr>
      <w:spacing w:after="0" w:line="360" w:lineRule="auto"/>
      <w:ind w:left="-360" w:right="142"/>
      <w:jc w:val="both"/>
    </w:pPr>
    <w:rPr>
      <w:rFonts w:ascii="Times New Roman" w:hAnsi="Times New Roman" w:eastAsia="Times New Roman" w:cs="Times New Roman"/>
      <w:sz w:val="24"/>
      <w:szCs w:val="20"/>
      <w:lang w:val="en-US" w:eastAsia="tr-TR"/>
    </w:rPr>
  </w:style>
  <w:style w:type="paragraph" w:styleId="3">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Strong"/>
    <w:qFormat/>
    <w:uiPriority w:val="0"/>
    <w:rPr>
      <w:b/>
      <w:bCs/>
    </w:rPr>
  </w:style>
  <w:style w:type="table" w:styleId="7">
    <w:name w:val="Table Grid"/>
    <w:basedOn w:val="6"/>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tr-TR" w:eastAsia="tr-TR" w:bidi="ar-SA"/>
    </w:rPr>
  </w:style>
  <w:style w:type="character" w:customStyle="1" w:styleId="9">
    <w:name w:val="Balon Metni Char"/>
    <w:basedOn w:val="4"/>
    <w:link w:val="3"/>
    <w:semiHidden/>
    <w:qFormat/>
    <w:uiPriority w:val="99"/>
    <w:rPr>
      <w:rFonts w:ascii="Tahoma" w:hAnsi="Tahoma" w:cs="Tahoma"/>
      <w:sz w:val="16"/>
      <w:szCs w:val="16"/>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tr-T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3651</Words>
  <Characters>20811</Characters>
  <Lines>173</Lines>
  <Paragraphs>48</Paragraphs>
  <TotalTime>4</TotalTime>
  <ScaleCrop>false</ScaleCrop>
  <LinksUpToDate>false</LinksUpToDate>
  <CharactersWithSpaces>24414</CharactersWithSpaces>
  <Application>WPS Office_10.1.0.7306_F1E327BC-269C-435d-A152-05C5408002CA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2018-02-02T08:25:00Z</dcterms:created>
  <dc:creator>OSMAN ÜNER</dc:creator>
  <cp:lastModifiedBy>扬名立万</cp:lastModifiedBy>
  <dcterms:modified xsi:type="dcterms:W3CDTF">2018-05-05T01:32:01Z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2052-10.1.0.7306</vt:lpwstr>
  </property>
</Properties>
</file>